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5F08" w14:textId="71EAD115" w:rsidR="009E010A" w:rsidRPr="0075354B" w:rsidRDefault="00A27215" w:rsidP="0075354B">
      <w:pPr>
        <w:jc w:val="center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noProof/>
          <w:sz w:val="24"/>
          <w:szCs w:val="28"/>
        </w:rPr>
        <w:drawing>
          <wp:inline distT="0" distB="0" distL="0" distR="0" wp14:anchorId="654575CB" wp14:editId="21A294E8">
            <wp:extent cx="5620214" cy="640080"/>
            <wp:effectExtent l="0" t="0" r="0" b="7620"/>
            <wp:docPr id="518719139" name="Picture 1" descr="College of Health and Human Scien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19139" name="Picture 1" descr="College of Health and Human Scien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22226" w14:textId="73E7F292" w:rsidR="000D170E" w:rsidRPr="009E010A" w:rsidRDefault="00F54D3F" w:rsidP="00AC6B2C">
      <w:pPr>
        <w:pStyle w:val="Heading1"/>
      </w:pPr>
      <w:r>
        <w:t>College of Health &amp; Human Sciences</w:t>
      </w:r>
      <w:r w:rsidR="00B13225">
        <w:t>: Bachelor of Science in Nursing (BSN)</w:t>
      </w:r>
      <w:r w:rsidR="003F3FD1">
        <w:br/>
      </w:r>
      <w:r w:rsidR="00B13225">
        <w:t>Traditional Nursing Option (TNO)</w:t>
      </w:r>
      <w:r w:rsidR="003F3FD1">
        <w:t xml:space="preserve"> Prerequisites and Degree Map</w:t>
      </w:r>
    </w:p>
    <w:p w14:paraId="47A6F114" w14:textId="597DA462" w:rsidR="004C0EF2" w:rsidRDefault="005B0E40" w:rsidP="002E25EF">
      <w:pPr>
        <w:jc w:val="center"/>
      </w:pPr>
      <w:r w:rsidRPr="009E010A">
        <w:t>2025-2026 Catalog Year</w:t>
      </w:r>
    </w:p>
    <w:p w14:paraId="5A4EE0F0" w14:textId="1C54FF02" w:rsidR="00AF1843" w:rsidRDefault="00AF1843" w:rsidP="00AF1843">
      <w:pPr>
        <w:pStyle w:val="Heading2"/>
      </w:pPr>
      <w:r>
        <w:t>Nursing Prerequisite Courses</w:t>
      </w:r>
    </w:p>
    <w:p w14:paraId="1E4562A0" w14:textId="5C3C997F" w:rsidR="00AF1843" w:rsidRDefault="00AF1843" w:rsidP="00AF1843">
      <w:r>
        <w:t>To enhance student success in the Nursing program, we recommend all prerequisite courses have been completed within the past 5 to 7 years</w:t>
      </w:r>
    </w:p>
    <w:p w14:paraId="00DB84D1" w14:textId="77777777" w:rsidR="00AF1843" w:rsidRDefault="00AF1843" w:rsidP="00AF1843"/>
    <w:p w14:paraId="49241FC8" w14:textId="38173CE0" w:rsidR="00D429F7" w:rsidRDefault="00D429F7" w:rsidP="00D429F7">
      <w:pPr>
        <w:pStyle w:val="ListParagraph"/>
        <w:numPr>
          <w:ilvl w:val="0"/>
          <w:numId w:val="14"/>
        </w:numPr>
        <w:spacing w:after="160"/>
        <w:contextualSpacing w:val="0"/>
      </w:pPr>
      <w:r w:rsidRPr="00D429F7">
        <w:rPr>
          <w:b/>
          <w:bCs/>
        </w:rPr>
        <w:t xml:space="preserve">BIO 2310: Anatomy and Physiology I with lab (4 credits) - </w:t>
      </w:r>
      <w:r w:rsidRPr="00D429F7">
        <w:t xml:space="preserve">This is the first of two courses addressing the structure </w:t>
      </w:r>
      <w:r w:rsidRPr="00D429F7">
        <w:t>and function</w:t>
      </w:r>
      <w:r w:rsidRPr="00D429F7">
        <w:t xml:space="preserve"> of the human body. Topics include tissues, anatomy, the musculoskeletal system, and </w:t>
      </w:r>
      <w:r w:rsidR="00786FCF" w:rsidRPr="00D429F7">
        <w:t>neurophysiology. (</w:t>
      </w:r>
      <w:r w:rsidRPr="00D429F7">
        <w:t>pre-req: BIO 1080/1090</w:t>
      </w:r>
      <w:r>
        <w:t>)</w:t>
      </w:r>
    </w:p>
    <w:p w14:paraId="3796D5D0" w14:textId="696353C7" w:rsidR="00D429F7" w:rsidRDefault="00D429F7" w:rsidP="00D429F7">
      <w:pPr>
        <w:pStyle w:val="ListParagraph"/>
        <w:numPr>
          <w:ilvl w:val="0"/>
          <w:numId w:val="14"/>
        </w:numPr>
        <w:spacing w:after="160"/>
        <w:contextualSpacing w:val="0"/>
      </w:pPr>
      <w:r w:rsidRPr="00D429F7">
        <w:rPr>
          <w:b/>
          <w:bCs/>
        </w:rPr>
        <w:t xml:space="preserve">BIO 2320: Anatomy and Physiology II with lab (4 credits) </w:t>
      </w:r>
      <w:r w:rsidRPr="00D429F7">
        <w:t xml:space="preserve">- This is the second of two courses addressing the </w:t>
      </w:r>
      <w:r w:rsidRPr="00D429F7">
        <w:t>structure and</w:t>
      </w:r>
      <w:r w:rsidRPr="00D429F7">
        <w:t xml:space="preserve"> function of the human body. Topics include endocrinology; circulation; and the respiratory, digestive, urinary, </w:t>
      </w:r>
      <w:r w:rsidRPr="00D429F7">
        <w:t>and reproductive</w:t>
      </w:r>
      <w:r w:rsidRPr="00D429F7">
        <w:t xml:space="preserve"> systems. (pre-req: BIO 2310)</w:t>
      </w:r>
    </w:p>
    <w:p w14:paraId="29C1F8B5" w14:textId="77777777" w:rsidR="00D429F7" w:rsidRDefault="00D429F7" w:rsidP="00D429F7">
      <w:pPr>
        <w:pStyle w:val="ListParagraph"/>
        <w:numPr>
          <w:ilvl w:val="0"/>
          <w:numId w:val="14"/>
        </w:numPr>
        <w:spacing w:after="160"/>
        <w:contextualSpacing w:val="0"/>
      </w:pPr>
      <w:r w:rsidRPr="00D429F7">
        <w:rPr>
          <w:b/>
          <w:bCs/>
        </w:rPr>
        <w:t xml:space="preserve">ITP 4600: Clinical Pathophysiology (4 credits) - </w:t>
      </w:r>
      <w:r w:rsidRPr="00D429F7">
        <w:t xml:space="preserve">This course is designed to familiarize the student with the nature </w:t>
      </w:r>
      <w:r w:rsidRPr="00D429F7">
        <w:t>of human</w:t>
      </w:r>
      <w:r w:rsidRPr="00D429F7">
        <w:t xml:space="preserve"> pathophysiology using major conceptual areas. Pertinent biochemical and metabolic derangements </w:t>
      </w:r>
      <w:r w:rsidRPr="00D429F7">
        <w:t>are correlated</w:t>
      </w:r>
      <w:r w:rsidRPr="00D429F7">
        <w:t xml:space="preserve"> with the cellular structure by applying systems theory. The course focuses on the effects of the </w:t>
      </w:r>
      <w:r w:rsidRPr="00D429F7">
        <w:t>disease process</w:t>
      </w:r>
      <w:r w:rsidRPr="00D429F7">
        <w:t xml:space="preserve"> on all the major bodily systems, pathogenesis, and related clinical manifestations. (pre-req: BIO 2320)</w:t>
      </w:r>
    </w:p>
    <w:p w14:paraId="55FEB009" w14:textId="77777777" w:rsidR="00D429F7" w:rsidRDefault="00D429F7" w:rsidP="00D429F7">
      <w:pPr>
        <w:pStyle w:val="ListParagraph"/>
        <w:numPr>
          <w:ilvl w:val="0"/>
          <w:numId w:val="14"/>
        </w:numPr>
        <w:spacing w:after="160"/>
        <w:contextualSpacing w:val="0"/>
      </w:pPr>
      <w:r w:rsidRPr="00D429F7">
        <w:rPr>
          <w:b/>
          <w:bCs/>
        </w:rPr>
        <w:t xml:space="preserve">PSY 2210: Psychology of Human Development (3 credits) - </w:t>
      </w:r>
      <w:r w:rsidRPr="00D429F7">
        <w:t xml:space="preserve">This course presents the development of behavior </w:t>
      </w:r>
      <w:r w:rsidRPr="00D429F7">
        <w:t>from conception</w:t>
      </w:r>
      <w:r w:rsidRPr="00D429F7">
        <w:t xml:space="preserve"> through maturity and death and is intended to help the student understand the </w:t>
      </w:r>
      <w:r w:rsidRPr="00D429F7">
        <w:t>developmental characteristics</w:t>
      </w:r>
      <w:r w:rsidRPr="00D429F7">
        <w:t xml:space="preserve"> of different age groups and the determinants of their individual and collective behaviors. (pre-req: PSY1001) Often referred to as Psychology over the Lifespan.</w:t>
      </w:r>
    </w:p>
    <w:p w14:paraId="6CBD8AF5" w14:textId="77777777" w:rsidR="00D429F7" w:rsidRDefault="00D429F7" w:rsidP="00D429F7">
      <w:pPr>
        <w:pStyle w:val="ListParagraph"/>
        <w:numPr>
          <w:ilvl w:val="0"/>
          <w:numId w:val="14"/>
        </w:numPr>
        <w:spacing w:after="160"/>
        <w:contextualSpacing w:val="0"/>
      </w:pPr>
      <w:r w:rsidRPr="00D429F7">
        <w:rPr>
          <w:b/>
          <w:bCs/>
        </w:rPr>
        <w:t xml:space="preserve">NUT 2040: Introduction to Nutrition (3 credits) - </w:t>
      </w:r>
      <w:r w:rsidRPr="00D429F7">
        <w:t xml:space="preserve">This course is designed to provide the student with an </w:t>
      </w:r>
      <w:r w:rsidRPr="00D429F7">
        <w:t>understanding of</w:t>
      </w:r>
      <w:r w:rsidRPr="00D429F7">
        <w:t xml:space="preserve"> the fundamental concepts of human nutrition, including digestion, absorption, metabolism, and function </w:t>
      </w:r>
      <w:r w:rsidRPr="00D429F7">
        <w:t>of nutrients</w:t>
      </w:r>
      <w:r w:rsidRPr="00D429F7">
        <w:t xml:space="preserve"> as they relate to human health and disease.</w:t>
      </w:r>
    </w:p>
    <w:p w14:paraId="7FFAAFC1" w14:textId="77777777" w:rsidR="00D429F7" w:rsidRDefault="00D429F7" w:rsidP="00D429F7">
      <w:pPr>
        <w:pStyle w:val="ListParagraph"/>
        <w:numPr>
          <w:ilvl w:val="0"/>
          <w:numId w:val="14"/>
        </w:numPr>
        <w:spacing w:after="160"/>
        <w:contextualSpacing w:val="0"/>
      </w:pPr>
      <w:r w:rsidRPr="00D429F7">
        <w:rPr>
          <w:b/>
          <w:bCs/>
        </w:rPr>
        <w:t xml:space="preserve">CHE 1100/1150: Principles of Chemistry (5 credits) - </w:t>
      </w:r>
      <w:r w:rsidRPr="00D429F7">
        <w:t xml:space="preserve">This course is a study of the fundamentals of chemistry. A </w:t>
      </w:r>
      <w:r w:rsidRPr="00D429F7">
        <w:t>survey of</w:t>
      </w:r>
      <w:r w:rsidRPr="00D429F7">
        <w:t xml:space="preserve"> atomic structure, periodicity, bonding, nomenclature, stoichiometry, gas laws, and solution chemistry is </w:t>
      </w:r>
      <w:r w:rsidRPr="00D429F7">
        <w:t>provided for</w:t>
      </w:r>
      <w:r w:rsidRPr="00D429F7">
        <w:t xml:space="preserve"> those students with no background in these areas. Plus lab (pre or co-req: college algebra course </w:t>
      </w:r>
      <w:r w:rsidRPr="00786FCF">
        <w:rPr>
          <w:i/>
          <w:iCs/>
          <w:u w:val="single"/>
        </w:rPr>
        <w:t>or</w:t>
      </w:r>
      <w:r w:rsidRPr="00D429F7">
        <w:rPr>
          <w:i/>
          <w:iCs/>
        </w:rPr>
        <w:t xml:space="preserve"> </w:t>
      </w:r>
      <w:r w:rsidRPr="00D429F7">
        <w:t>appropriate math</w:t>
      </w:r>
      <w:r w:rsidRPr="00D429F7">
        <w:t xml:space="preserve"> testing score)</w:t>
      </w:r>
      <w:r>
        <w:br/>
      </w:r>
      <w:r w:rsidRPr="00D429F7">
        <w:rPr>
          <w:b/>
          <w:bCs/>
          <w:u w:val="single"/>
        </w:rPr>
        <w:t xml:space="preserve">or </w:t>
      </w:r>
      <w:r w:rsidRPr="00D429F7">
        <w:rPr>
          <w:b/>
          <w:bCs/>
        </w:rPr>
        <w:t xml:space="preserve">CHE 1800/1801: General Chemistry I (5 credits) - </w:t>
      </w:r>
      <w:r w:rsidRPr="00D429F7">
        <w:t xml:space="preserve">A comprehensive study of the facts, concepts, and laws </w:t>
      </w:r>
      <w:r w:rsidRPr="00D429F7">
        <w:t>of chemistry</w:t>
      </w:r>
      <w:r w:rsidRPr="00D429F7">
        <w:t xml:space="preserve">. This course meets the requirements of students majoring in chemistry, medicine, medical </w:t>
      </w:r>
      <w:r w:rsidRPr="00D429F7">
        <w:t>technology, biology</w:t>
      </w:r>
      <w:r w:rsidRPr="00D429F7">
        <w:t xml:space="preserve">, physics, and other fields requiring a strong background in chemistry. Students enrolling in this course </w:t>
      </w:r>
      <w:r w:rsidRPr="00D429F7">
        <w:t>should have</w:t>
      </w:r>
      <w:r w:rsidRPr="00D429F7">
        <w:t xml:space="preserve"> successfully completed high school chemistry or equivalent coursework. Plus lab (pre-req: college algebra </w:t>
      </w:r>
      <w:r w:rsidRPr="00D429F7">
        <w:t xml:space="preserve">course </w:t>
      </w:r>
      <w:r w:rsidRPr="00786FCF">
        <w:rPr>
          <w:i/>
          <w:iCs/>
          <w:u w:val="single"/>
        </w:rPr>
        <w:t>or</w:t>
      </w:r>
      <w:r w:rsidRPr="00D429F7">
        <w:t xml:space="preserve"> appropriate math test score)</w:t>
      </w:r>
    </w:p>
    <w:p w14:paraId="57726365" w14:textId="58D43EA3" w:rsidR="00D429F7" w:rsidRDefault="00D429F7" w:rsidP="00D429F7">
      <w:pPr>
        <w:pStyle w:val="ListParagraph"/>
        <w:numPr>
          <w:ilvl w:val="0"/>
          <w:numId w:val="14"/>
        </w:numPr>
        <w:spacing w:after="160"/>
        <w:contextualSpacing w:val="0"/>
      </w:pPr>
      <w:r w:rsidRPr="00D429F7">
        <w:rPr>
          <w:b/>
          <w:bCs/>
        </w:rPr>
        <w:t xml:space="preserve">MTH 1210: Introduction to Statistics (4 credits) </w:t>
      </w:r>
      <w:r w:rsidRPr="00D429F7">
        <w:t xml:space="preserve">- This course is an introduction to the principles and techniques </w:t>
      </w:r>
      <w:r w:rsidRPr="00D429F7">
        <w:t>of descriptive</w:t>
      </w:r>
      <w:r w:rsidRPr="00D429F7">
        <w:t xml:space="preserve"> statistics, probability, regression analysis, and statistical inference (estimation and tests of hypotheses</w:t>
      </w:r>
      <w:r w:rsidR="00786FCF" w:rsidRPr="00D429F7">
        <w:t>). Students</w:t>
      </w:r>
      <w:r w:rsidRPr="00D429F7">
        <w:t xml:space="preserve"> will work with data on problems related to their own interest or field of study. (pre-req: appropriate </w:t>
      </w:r>
      <w:r w:rsidRPr="00D429F7">
        <w:t>math course</w:t>
      </w:r>
      <w:r w:rsidRPr="00D429F7">
        <w:t xml:space="preserve"> or test score</w:t>
      </w:r>
      <w:r>
        <w:t>)</w:t>
      </w:r>
      <w:r>
        <w:br/>
      </w:r>
      <w:r w:rsidRPr="00D429F7">
        <w:rPr>
          <w:b/>
          <w:bCs/>
          <w:u w:val="single"/>
        </w:rPr>
        <w:t>or</w:t>
      </w:r>
      <w:r w:rsidRPr="00D429F7">
        <w:rPr>
          <w:b/>
          <w:bCs/>
        </w:rPr>
        <w:t xml:space="preserve"> PSY 2310: Introduction to Statistics for Social and Behavioral Sciences (3 credits) </w:t>
      </w:r>
      <w:r w:rsidRPr="00D429F7">
        <w:t xml:space="preserve">- This course applies </w:t>
      </w:r>
      <w:r w:rsidRPr="00D429F7">
        <w:t>basic statistics</w:t>
      </w:r>
      <w:r w:rsidRPr="00D429F7">
        <w:t xml:space="preserve"> to measurement, analysis, and interpretation in psychology as well as other social and behavioral </w:t>
      </w:r>
      <w:r w:rsidRPr="00D429F7">
        <w:t>sciences covering</w:t>
      </w:r>
      <w:r w:rsidRPr="00D429F7">
        <w:t xml:space="preserve"> distributions, probability, central tendency, variability, sampling distributions, and hypothesis testing.</w:t>
      </w:r>
    </w:p>
    <w:p w14:paraId="6C8DCDB4" w14:textId="1E4CCD58" w:rsidR="003F3FD1" w:rsidRDefault="00D429F7" w:rsidP="00D429F7">
      <w:pPr>
        <w:pStyle w:val="ListParagraph"/>
        <w:numPr>
          <w:ilvl w:val="0"/>
          <w:numId w:val="14"/>
        </w:numPr>
        <w:spacing w:after="160"/>
        <w:contextualSpacing w:val="0"/>
      </w:pPr>
      <w:r w:rsidRPr="00D429F7">
        <w:rPr>
          <w:b/>
          <w:bCs/>
        </w:rPr>
        <w:t xml:space="preserve">BIO 2000: Intro to Microbiology for Nursing (4 credits) </w:t>
      </w:r>
      <w:r w:rsidRPr="00D429F7">
        <w:t xml:space="preserve">- This course is a non-majors introductory microbiology </w:t>
      </w:r>
      <w:r w:rsidRPr="00D429F7">
        <w:t>course specifically</w:t>
      </w:r>
      <w:r w:rsidRPr="00D429F7">
        <w:t xml:space="preserve"> for pre-nursing. It will not count toward a biology major or minor. This course emphasizes the </w:t>
      </w:r>
      <w:r w:rsidRPr="00D429F7">
        <w:t>interplay between</w:t>
      </w:r>
      <w:r w:rsidRPr="00D429F7">
        <w:t xml:space="preserve"> microorganisms and humans including infectious diseases and the immune system and has an emphasis </w:t>
      </w:r>
      <w:r w:rsidRPr="00D429F7">
        <w:t>on the</w:t>
      </w:r>
      <w:r w:rsidRPr="00D429F7">
        <w:t xml:space="preserve"> control of microbial growth, spread of microorganisms, and their ability to cause disease and circumvent </w:t>
      </w:r>
      <w:r w:rsidRPr="00D429F7">
        <w:t>the immune</w:t>
      </w:r>
      <w:r w:rsidRPr="00D429F7">
        <w:t xml:space="preserve"> system and antimicrobials. (pre-req BIO 1080/1090, CHE 1100/1150)</w:t>
      </w:r>
      <w:r>
        <w:br/>
      </w:r>
      <w:r w:rsidRPr="00D429F7">
        <w:rPr>
          <w:b/>
          <w:bCs/>
          <w:u w:val="single"/>
        </w:rPr>
        <w:t xml:space="preserve">or </w:t>
      </w:r>
      <w:r w:rsidRPr="00D429F7">
        <w:rPr>
          <w:b/>
          <w:bCs/>
        </w:rPr>
        <w:t xml:space="preserve">BIO 2400: General Microbiology with lab (5 credits) </w:t>
      </w:r>
      <w:r w:rsidRPr="00D429F7">
        <w:t xml:space="preserve">- This is a one-semester introduction to the microbial </w:t>
      </w:r>
      <w:r w:rsidRPr="00D429F7">
        <w:t>world, including</w:t>
      </w:r>
      <w:r w:rsidRPr="00D429F7">
        <w:t xml:space="preserve"> discussions of bacteria, Cyanobacteria, fungi, protozoans, and viruses. (pre-req BIO 1080/1090, BIO1081/1091, CHE 1100/1150)</w:t>
      </w:r>
      <w:r w:rsidR="003F3FD1">
        <w:br w:type="page"/>
      </w:r>
    </w:p>
    <w:p w14:paraId="2B518F43" w14:textId="248D331F" w:rsidR="003F3FD1" w:rsidRDefault="003F3FD1" w:rsidP="003F3FD1">
      <w:pPr>
        <w:pStyle w:val="Heading1"/>
      </w:pPr>
      <w:r>
        <w:lastRenderedPageBreak/>
        <w:t>Pre-Nursing Sample Curriculum Plan</w:t>
      </w:r>
    </w:p>
    <w:p w14:paraId="65200EF5" w14:textId="4595C68F" w:rsidR="002E25EF" w:rsidRPr="002E25EF" w:rsidRDefault="00961152" w:rsidP="002E25EF">
      <w:pPr>
        <w:pStyle w:val="Heading2"/>
      </w:pPr>
      <w:r>
        <w:t>First Semester</w:t>
      </w:r>
      <w:r w:rsidR="002E25EF">
        <w:t xml:space="preserve"> (</w:t>
      </w:r>
      <w:r>
        <w:t>13 to 14</w:t>
      </w:r>
      <w:r w:rsidR="002E25EF">
        <w:t xml:space="preserve"> credits)</w:t>
      </w:r>
    </w:p>
    <w:tbl>
      <w:tblPr>
        <w:tblStyle w:val="TableGrid"/>
        <w:tblW w:w="10799" w:type="dxa"/>
        <w:tblLook w:val="04A0" w:firstRow="1" w:lastRow="0" w:firstColumn="1" w:lastColumn="0" w:noHBand="0" w:noVBand="1"/>
        <w:tblCaption w:val="First Year Fall Semester"/>
        <w:tblDescription w:val="This table lists the recommended first-year fall semester courses for the program, including course titles and credit hours"/>
      </w:tblPr>
      <w:tblGrid>
        <w:gridCol w:w="9893"/>
        <w:gridCol w:w="906"/>
      </w:tblGrid>
      <w:tr w:rsidR="00671C9E" w14:paraId="2BD5A782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5B22D83E" w14:textId="6E08CE18" w:rsidR="008743AF" w:rsidRDefault="008743AF" w:rsidP="008743AF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2CE9FCF" w14:textId="1963E451" w:rsidR="008743AF" w:rsidRDefault="008743AF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671C9E" w14:paraId="0EF2149A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3E8801DD" w14:textId="19CBA4DD" w:rsidR="008743AF" w:rsidRDefault="004F2F52" w:rsidP="008743AF">
            <w:r>
              <w:t>ENG 1010 Composing Arguments (Written Communication General Studies 1 of 2)</w:t>
            </w:r>
          </w:p>
        </w:tc>
        <w:tc>
          <w:tcPr>
            <w:tcW w:w="906" w:type="dxa"/>
            <w:vAlign w:val="center"/>
          </w:tcPr>
          <w:p w14:paraId="02BC5ABF" w14:textId="50951493" w:rsidR="008743AF" w:rsidRDefault="00C77E8E" w:rsidP="005120F4">
            <w:pPr>
              <w:jc w:val="center"/>
            </w:pPr>
            <w:r>
              <w:t>3</w:t>
            </w:r>
          </w:p>
        </w:tc>
      </w:tr>
      <w:tr w:rsidR="00671C9E" w14:paraId="4AE73EF2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780D08CC" w14:textId="11CF3EF9" w:rsidR="008743AF" w:rsidRPr="00C77E8E" w:rsidRDefault="00C77E8E" w:rsidP="008743AF">
            <w:pPr>
              <w:rPr>
                <w:i/>
                <w:iCs/>
              </w:rPr>
            </w:pPr>
            <w:r>
              <w:rPr>
                <w:i/>
                <w:iCs/>
              </w:rPr>
              <w:t>Optional: ENG 1001 Writing Studio A</w:t>
            </w:r>
          </w:p>
        </w:tc>
        <w:tc>
          <w:tcPr>
            <w:tcW w:w="906" w:type="dxa"/>
            <w:vAlign w:val="center"/>
          </w:tcPr>
          <w:p w14:paraId="27177B70" w14:textId="02431DC1" w:rsidR="008743AF" w:rsidRPr="00C77E8E" w:rsidRDefault="00C77E8E" w:rsidP="005120F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671C9E" w14:paraId="58BA98F3" w14:textId="77777777" w:rsidTr="00671C9E">
        <w:trPr>
          <w:cantSplit/>
          <w:trHeight w:val="576"/>
          <w:tblHeader/>
        </w:trPr>
        <w:tc>
          <w:tcPr>
            <w:tcW w:w="9893" w:type="dxa"/>
            <w:vAlign w:val="center"/>
          </w:tcPr>
          <w:p w14:paraId="246699CA" w14:textId="66974F10" w:rsidR="008743AF" w:rsidRPr="00C77E8E" w:rsidRDefault="00C77E8E" w:rsidP="008743AF">
            <w:r>
              <w:t>College Algebra (MTH 1109, 1110, 1111,1112)**</w:t>
            </w:r>
            <w:r w:rsidR="00671C9E">
              <w:t xml:space="preserve"> </w:t>
            </w:r>
            <w:r w:rsidR="00671C9E">
              <w:t>(Quantitative Literacy General Studies Requirement)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or</w:t>
            </w:r>
            <w:r w:rsidR="00316C42">
              <w:rPr>
                <w:b/>
                <w:bCs/>
                <w:i/>
                <w:iCs/>
              </w:rPr>
              <w:br/>
            </w:r>
            <w:r>
              <w:t>MTH 1210 Intro to Statistics (Quantitative Literacy General Studies Requirement)</w:t>
            </w:r>
          </w:p>
        </w:tc>
        <w:tc>
          <w:tcPr>
            <w:tcW w:w="906" w:type="dxa"/>
            <w:vAlign w:val="center"/>
          </w:tcPr>
          <w:p w14:paraId="0F26A5FD" w14:textId="66A144B3" w:rsidR="008743AF" w:rsidRDefault="00DE24EA" w:rsidP="005120F4">
            <w:pPr>
              <w:jc w:val="center"/>
            </w:pPr>
            <w:r>
              <w:t>4</w:t>
            </w:r>
          </w:p>
        </w:tc>
      </w:tr>
      <w:tr w:rsidR="00671C9E" w14:paraId="21B08820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098A8B68" w14:textId="0EEEDB6A" w:rsidR="008743AF" w:rsidRPr="00DE24EA" w:rsidRDefault="00DE24EA" w:rsidP="008743AF">
            <w:r>
              <w:t>PSY 1001 Introductory Psychology (Social &amp; Behavioral Science General Studies Requirement 1 of 2)</w:t>
            </w:r>
          </w:p>
        </w:tc>
        <w:tc>
          <w:tcPr>
            <w:tcW w:w="906" w:type="dxa"/>
            <w:vAlign w:val="center"/>
          </w:tcPr>
          <w:p w14:paraId="2312C231" w14:textId="1C88A38B" w:rsidR="008743AF" w:rsidRDefault="00671C9E" w:rsidP="005120F4">
            <w:pPr>
              <w:jc w:val="center"/>
            </w:pPr>
            <w:r>
              <w:t>3</w:t>
            </w:r>
          </w:p>
        </w:tc>
      </w:tr>
      <w:tr w:rsidR="00671C9E" w14:paraId="119835B2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0C63018E" w14:textId="3DECCAA9" w:rsidR="008743AF" w:rsidRDefault="00671C9E" w:rsidP="008743AF">
            <w:r>
              <w:t>Oral Communication General Studies Requirement (see catalog for options)*</w:t>
            </w:r>
          </w:p>
        </w:tc>
        <w:tc>
          <w:tcPr>
            <w:tcW w:w="906" w:type="dxa"/>
            <w:vAlign w:val="center"/>
          </w:tcPr>
          <w:p w14:paraId="4D3F5477" w14:textId="40F6C56A" w:rsidR="008743AF" w:rsidRDefault="00671C9E" w:rsidP="005120F4">
            <w:pPr>
              <w:jc w:val="center"/>
            </w:pPr>
            <w:r>
              <w:t>3</w:t>
            </w:r>
          </w:p>
        </w:tc>
      </w:tr>
    </w:tbl>
    <w:p w14:paraId="3CB7A360" w14:textId="7CA1BB8B" w:rsidR="003C5DFD" w:rsidRDefault="00961152" w:rsidP="003C5DFD">
      <w:pPr>
        <w:pStyle w:val="Heading2"/>
      </w:pPr>
      <w:r>
        <w:t>Second Semester</w:t>
      </w:r>
      <w:r w:rsidR="003C5DFD">
        <w:t xml:space="preserve"> (</w:t>
      </w:r>
      <w:r>
        <w:t>14</w:t>
      </w:r>
      <w:r w:rsidR="003C5DFD">
        <w:t xml:space="preserve"> credits)</w:t>
      </w:r>
    </w:p>
    <w:tbl>
      <w:tblPr>
        <w:tblStyle w:val="TableGrid"/>
        <w:tblW w:w="10799" w:type="dxa"/>
        <w:tblLook w:val="04A0" w:firstRow="1" w:lastRow="0" w:firstColumn="1" w:lastColumn="0" w:noHBand="0" w:noVBand="1"/>
        <w:tblCaption w:val="First Year Spring Semester"/>
        <w:tblDescription w:val="This table lists the recommended first-year spring semester courses for the program, including course titles and credit hours"/>
      </w:tblPr>
      <w:tblGrid>
        <w:gridCol w:w="9893"/>
        <w:gridCol w:w="906"/>
      </w:tblGrid>
      <w:tr w:rsidR="0051496E" w14:paraId="11572E34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58C76FDD" w14:textId="77777777" w:rsidR="0051496E" w:rsidRDefault="0051496E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61B534A" w14:textId="77777777" w:rsidR="0051496E" w:rsidRDefault="0051496E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496E" w14:paraId="3C98A0EF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58943F28" w14:textId="748C6B80" w:rsidR="0051496E" w:rsidRDefault="00F671CA" w:rsidP="00455641">
            <w:r>
              <w:t>BIO 1080 General Biology I (Natural &amp; Physical Science General Studies 1 of 2)</w:t>
            </w:r>
          </w:p>
        </w:tc>
        <w:tc>
          <w:tcPr>
            <w:tcW w:w="906" w:type="dxa"/>
            <w:vAlign w:val="center"/>
          </w:tcPr>
          <w:p w14:paraId="4A47B932" w14:textId="4A0500BD" w:rsidR="0051496E" w:rsidRDefault="00F671CA" w:rsidP="005120F4">
            <w:pPr>
              <w:jc w:val="center"/>
            </w:pPr>
            <w:r>
              <w:t>3</w:t>
            </w:r>
          </w:p>
        </w:tc>
      </w:tr>
      <w:tr w:rsidR="0051496E" w14:paraId="646F1A8E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4662CEA2" w14:textId="2300CC03" w:rsidR="0051496E" w:rsidRDefault="00F671CA" w:rsidP="00455641">
            <w:r>
              <w:t>BIO 1090 General Biology Laboratory I</w:t>
            </w:r>
          </w:p>
        </w:tc>
        <w:tc>
          <w:tcPr>
            <w:tcW w:w="906" w:type="dxa"/>
            <w:vAlign w:val="center"/>
          </w:tcPr>
          <w:p w14:paraId="579E0693" w14:textId="3CFA3A96" w:rsidR="0051496E" w:rsidRDefault="00F671CA" w:rsidP="005120F4">
            <w:pPr>
              <w:jc w:val="center"/>
            </w:pPr>
            <w:r>
              <w:t>1</w:t>
            </w:r>
          </w:p>
        </w:tc>
      </w:tr>
      <w:tr w:rsidR="0051496E" w14:paraId="7A5E466D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155A9BAC" w14:textId="13820B8C" w:rsidR="0051496E" w:rsidRDefault="00F671CA" w:rsidP="00455641">
            <w:r>
              <w:t>ENG 1020 Research and Argument Writing (Written Communication General Studies 1 of 2)</w:t>
            </w:r>
          </w:p>
        </w:tc>
        <w:tc>
          <w:tcPr>
            <w:tcW w:w="906" w:type="dxa"/>
            <w:vAlign w:val="center"/>
          </w:tcPr>
          <w:p w14:paraId="5012C00B" w14:textId="66A663DB" w:rsidR="0051496E" w:rsidRDefault="00F671CA" w:rsidP="005120F4">
            <w:pPr>
              <w:jc w:val="center"/>
            </w:pPr>
            <w:r>
              <w:t>3</w:t>
            </w:r>
          </w:p>
        </w:tc>
      </w:tr>
      <w:tr w:rsidR="0051496E" w14:paraId="2386FC5E" w14:textId="77777777" w:rsidTr="00410B57">
        <w:trPr>
          <w:cantSplit/>
          <w:trHeight w:val="576"/>
          <w:tblHeader/>
        </w:trPr>
        <w:tc>
          <w:tcPr>
            <w:tcW w:w="9893" w:type="dxa"/>
            <w:vAlign w:val="center"/>
          </w:tcPr>
          <w:p w14:paraId="0DC0BB09" w14:textId="23F0DBCA" w:rsidR="0051496E" w:rsidRDefault="00410B57" w:rsidP="00455641">
            <w:r>
              <w:t xml:space="preserve">College Algebra (MTH 1109, 1110, 1111,1112)** (Quantitative Literacy General Studies Requirement) </w:t>
            </w:r>
            <w:r>
              <w:rPr>
                <w:b/>
                <w:bCs/>
                <w:i/>
                <w:iCs/>
              </w:rPr>
              <w:t>or</w:t>
            </w:r>
            <w:r>
              <w:rPr>
                <w:b/>
                <w:bCs/>
                <w:i/>
                <w:iCs/>
              </w:rPr>
              <w:br/>
            </w:r>
            <w:r>
              <w:t>MTH 1210 Intro to Statistics (Quantitative Literacy General Studies Requirement)</w:t>
            </w:r>
          </w:p>
        </w:tc>
        <w:tc>
          <w:tcPr>
            <w:tcW w:w="906" w:type="dxa"/>
            <w:vAlign w:val="center"/>
          </w:tcPr>
          <w:p w14:paraId="35D4106D" w14:textId="1851C0D2" w:rsidR="0051496E" w:rsidRDefault="00F671CA" w:rsidP="005120F4">
            <w:pPr>
              <w:jc w:val="center"/>
            </w:pPr>
            <w:r>
              <w:t>4</w:t>
            </w:r>
          </w:p>
        </w:tc>
      </w:tr>
      <w:tr w:rsidR="0051496E" w14:paraId="4176E079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0C8C62AA" w14:textId="1E1F8A9E" w:rsidR="0051496E" w:rsidRDefault="00194BB6" w:rsidP="00455641">
            <w:r>
              <w:t>Social &amp; Behavioral Science General Studies (</w:t>
            </w:r>
            <w:r w:rsidR="00CF05F0">
              <w:t>2</w:t>
            </w:r>
            <w:r>
              <w:t xml:space="preserve"> of 2) (see catalog for options)*</w:t>
            </w:r>
          </w:p>
        </w:tc>
        <w:tc>
          <w:tcPr>
            <w:tcW w:w="906" w:type="dxa"/>
            <w:vAlign w:val="center"/>
          </w:tcPr>
          <w:p w14:paraId="00B1D64C" w14:textId="135F0039" w:rsidR="0051496E" w:rsidRDefault="00F671CA" w:rsidP="005120F4">
            <w:pPr>
              <w:jc w:val="center"/>
            </w:pPr>
            <w:r>
              <w:t>3</w:t>
            </w:r>
          </w:p>
        </w:tc>
      </w:tr>
    </w:tbl>
    <w:p w14:paraId="4E9B3ED0" w14:textId="1B05B2C1" w:rsidR="00142E5E" w:rsidRDefault="00961152" w:rsidP="00142E5E">
      <w:pPr>
        <w:pStyle w:val="Heading2"/>
      </w:pPr>
      <w:r>
        <w:t>Third</w:t>
      </w:r>
      <w:r w:rsidR="00142E5E">
        <w:t xml:space="preserve"> Semester (</w:t>
      </w:r>
      <w:r>
        <w:t>12</w:t>
      </w:r>
      <w:r w:rsidR="00142E5E">
        <w:t xml:space="preserve"> credits)</w:t>
      </w:r>
    </w:p>
    <w:tbl>
      <w:tblPr>
        <w:tblStyle w:val="TableGrid"/>
        <w:tblW w:w="10799" w:type="dxa"/>
        <w:tblLook w:val="04A0" w:firstRow="1" w:lastRow="0" w:firstColumn="1" w:lastColumn="0" w:noHBand="0" w:noVBand="1"/>
        <w:tblCaption w:val="Second Year Fall Semester"/>
        <w:tblDescription w:val="This table lists the recommended second-year fall semester courses for the program, including course titles and credit hours"/>
      </w:tblPr>
      <w:tblGrid>
        <w:gridCol w:w="9893"/>
        <w:gridCol w:w="906"/>
      </w:tblGrid>
      <w:tr w:rsidR="005368CA" w14:paraId="469B9F43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6DE0CCB1" w14:textId="77777777" w:rsidR="005368CA" w:rsidRDefault="005368CA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419A353" w14:textId="77777777" w:rsidR="005368CA" w:rsidRDefault="005368CA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5368CA" w14:paraId="21C5C27B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5B39ADB2" w14:textId="389A32AC" w:rsidR="005368CA" w:rsidRDefault="00175138" w:rsidP="00455641">
            <w:r>
              <w:t>BIO 2310 Human Anatomy &amp; Physiology I</w:t>
            </w:r>
          </w:p>
        </w:tc>
        <w:tc>
          <w:tcPr>
            <w:tcW w:w="906" w:type="dxa"/>
            <w:vAlign w:val="center"/>
          </w:tcPr>
          <w:p w14:paraId="4EC97621" w14:textId="0E96D138" w:rsidR="005368CA" w:rsidRDefault="00175138" w:rsidP="00455641">
            <w:pPr>
              <w:jc w:val="center"/>
            </w:pPr>
            <w:r>
              <w:t>4</w:t>
            </w:r>
          </w:p>
        </w:tc>
      </w:tr>
      <w:tr w:rsidR="005368CA" w14:paraId="12863F74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3AC2B124" w14:textId="7A1C6D00" w:rsidR="005368CA" w:rsidRDefault="00175138" w:rsidP="00455641">
            <w:r>
              <w:t>CHE 1100 Principles of Chemistry** (Natural &amp; Physical Science General Studies 2 of 2)</w:t>
            </w:r>
          </w:p>
        </w:tc>
        <w:tc>
          <w:tcPr>
            <w:tcW w:w="906" w:type="dxa"/>
            <w:vAlign w:val="center"/>
          </w:tcPr>
          <w:p w14:paraId="5A127E5B" w14:textId="4AE517ED" w:rsidR="005368CA" w:rsidRDefault="00175138" w:rsidP="00455641">
            <w:pPr>
              <w:jc w:val="center"/>
            </w:pPr>
            <w:r>
              <w:t>4</w:t>
            </w:r>
          </w:p>
        </w:tc>
      </w:tr>
      <w:tr w:rsidR="005368CA" w14:paraId="6AEBD0C3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433D092D" w14:textId="2E11E457" w:rsidR="005368CA" w:rsidRDefault="008023E2" w:rsidP="00455641">
            <w:r>
              <w:t>CHE 1150 Principles of Chemistry Laboratory</w:t>
            </w:r>
          </w:p>
        </w:tc>
        <w:tc>
          <w:tcPr>
            <w:tcW w:w="906" w:type="dxa"/>
            <w:vAlign w:val="center"/>
          </w:tcPr>
          <w:p w14:paraId="1795DA7E" w14:textId="51D3BCFB" w:rsidR="005368CA" w:rsidRDefault="00175138" w:rsidP="00455641">
            <w:pPr>
              <w:jc w:val="center"/>
            </w:pPr>
            <w:r>
              <w:t>1</w:t>
            </w:r>
          </w:p>
        </w:tc>
      </w:tr>
      <w:tr w:rsidR="005368CA" w14:paraId="7D10C98B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73B4C37F" w14:textId="2FA309B1" w:rsidR="005368CA" w:rsidRDefault="008023E2" w:rsidP="00455641">
            <w:r>
              <w:t>Arts &amp; Humanities General Studies (1 of 2) (see catalog for options)*</w:t>
            </w:r>
          </w:p>
        </w:tc>
        <w:tc>
          <w:tcPr>
            <w:tcW w:w="906" w:type="dxa"/>
            <w:vAlign w:val="center"/>
          </w:tcPr>
          <w:p w14:paraId="78BCC64F" w14:textId="4305D9E0" w:rsidR="005368CA" w:rsidRDefault="00175138" w:rsidP="00455641">
            <w:pPr>
              <w:jc w:val="center"/>
            </w:pPr>
            <w:r>
              <w:t>3</w:t>
            </w:r>
          </w:p>
        </w:tc>
      </w:tr>
    </w:tbl>
    <w:p w14:paraId="354DF72D" w14:textId="61F5698F" w:rsidR="00C63814" w:rsidRDefault="00961152" w:rsidP="00C63814">
      <w:pPr>
        <w:pStyle w:val="Heading2"/>
      </w:pPr>
      <w:r>
        <w:t>Fourth</w:t>
      </w:r>
      <w:r w:rsidR="00C63814">
        <w:t xml:space="preserve"> Semester (</w:t>
      </w:r>
      <w:r>
        <w:t>12</w:t>
      </w:r>
      <w:r w:rsidR="00C63814">
        <w:t xml:space="preserve"> credits)</w:t>
      </w:r>
    </w:p>
    <w:tbl>
      <w:tblPr>
        <w:tblStyle w:val="TableGrid"/>
        <w:tblW w:w="10799" w:type="dxa"/>
        <w:tblLook w:val="04A0" w:firstRow="1" w:lastRow="0" w:firstColumn="1" w:lastColumn="0" w:noHBand="0" w:noVBand="1"/>
        <w:tblCaption w:val="Second Year Spring Semester"/>
        <w:tblDescription w:val="This table lists the recommended second-year spring semester courses for the program, including course titles and credit hours"/>
      </w:tblPr>
      <w:tblGrid>
        <w:gridCol w:w="9893"/>
        <w:gridCol w:w="906"/>
      </w:tblGrid>
      <w:tr w:rsidR="007510D5" w14:paraId="202993DF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4D34B5FE" w14:textId="77777777" w:rsidR="007510D5" w:rsidRDefault="007510D5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A36B779" w14:textId="77777777" w:rsidR="007510D5" w:rsidRDefault="007510D5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7510D5" w14:paraId="43DFE64C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761A8FAD" w14:textId="0688B8E3" w:rsidR="007510D5" w:rsidRDefault="008023E2" w:rsidP="00455641">
            <w:r>
              <w:t>PSY 2210 Psychology of Human Development</w:t>
            </w:r>
          </w:p>
        </w:tc>
        <w:tc>
          <w:tcPr>
            <w:tcW w:w="906" w:type="dxa"/>
            <w:vAlign w:val="center"/>
          </w:tcPr>
          <w:p w14:paraId="7406CC7E" w14:textId="46298A52" w:rsidR="007510D5" w:rsidRDefault="008023E2" w:rsidP="00455641">
            <w:pPr>
              <w:jc w:val="center"/>
            </w:pPr>
            <w:r>
              <w:t>3</w:t>
            </w:r>
          </w:p>
        </w:tc>
      </w:tr>
      <w:tr w:rsidR="007510D5" w14:paraId="1119EB74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7F92DA6E" w14:textId="3F462054" w:rsidR="007510D5" w:rsidRDefault="008023E2" w:rsidP="00455641">
            <w:r>
              <w:t>BIO 2320 Human Anatomy &amp; Physiology II</w:t>
            </w:r>
          </w:p>
        </w:tc>
        <w:tc>
          <w:tcPr>
            <w:tcW w:w="906" w:type="dxa"/>
            <w:vAlign w:val="center"/>
          </w:tcPr>
          <w:p w14:paraId="3FD2B296" w14:textId="42AC4BEC" w:rsidR="007510D5" w:rsidRDefault="008023E2" w:rsidP="00455641">
            <w:pPr>
              <w:jc w:val="center"/>
            </w:pPr>
            <w:r>
              <w:t>4</w:t>
            </w:r>
          </w:p>
        </w:tc>
      </w:tr>
      <w:tr w:rsidR="007510D5" w14:paraId="5751A829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2A6A7524" w14:textId="682D1B33" w:rsidR="007510D5" w:rsidRDefault="008023E2" w:rsidP="00455641">
            <w:r>
              <w:t>BIO 2000 Introductory Microbiology for Nursing</w:t>
            </w:r>
          </w:p>
        </w:tc>
        <w:tc>
          <w:tcPr>
            <w:tcW w:w="906" w:type="dxa"/>
            <w:vAlign w:val="center"/>
          </w:tcPr>
          <w:p w14:paraId="511CC22A" w14:textId="66E9784B" w:rsidR="007510D5" w:rsidRDefault="008023E2" w:rsidP="00455641">
            <w:pPr>
              <w:jc w:val="center"/>
            </w:pPr>
            <w:r>
              <w:t>4</w:t>
            </w:r>
          </w:p>
        </w:tc>
      </w:tr>
      <w:tr w:rsidR="007510D5" w14:paraId="2BBDC7C6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72AD241A" w14:textId="429E1E9D" w:rsidR="007510D5" w:rsidRDefault="008023E2" w:rsidP="00455641">
            <w:r>
              <w:t>CPD Course***</w:t>
            </w:r>
            <w:r w:rsidRPr="008023E2">
              <w:rPr>
                <w:sz w:val="24"/>
                <w:szCs w:val="28"/>
              </w:rPr>
              <w:t xml:space="preserve"> </w:t>
            </w:r>
            <w:r w:rsidRPr="008023E2">
              <w:t>(suggestions: CPD 1300 Student Success, CPD 2300 Time Mgmt, CPD 2310 Stress Mgmt)</w:t>
            </w:r>
          </w:p>
        </w:tc>
        <w:tc>
          <w:tcPr>
            <w:tcW w:w="906" w:type="dxa"/>
            <w:vAlign w:val="center"/>
          </w:tcPr>
          <w:p w14:paraId="774EF945" w14:textId="25B8D41A" w:rsidR="007510D5" w:rsidRDefault="008023E2" w:rsidP="00455641">
            <w:pPr>
              <w:jc w:val="center"/>
            </w:pPr>
            <w:r>
              <w:t>1</w:t>
            </w:r>
          </w:p>
        </w:tc>
      </w:tr>
    </w:tbl>
    <w:p w14:paraId="54D83FFE" w14:textId="7E967972" w:rsidR="00961152" w:rsidRDefault="00961152" w:rsidP="00961152">
      <w:pPr>
        <w:pStyle w:val="Heading2"/>
      </w:pPr>
      <w:r>
        <w:t>Fifth</w:t>
      </w:r>
      <w:r>
        <w:t xml:space="preserve"> Semester (</w:t>
      </w:r>
      <w:r>
        <w:t>13</w:t>
      </w:r>
      <w:r>
        <w:t xml:space="preserve"> credits)</w:t>
      </w:r>
    </w:p>
    <w:tbl>
      <w:tblPr>
        <w:tblStyle w:val="TableGrid"/>
        <w:tblW w:w="10799" w:type="dxa"/>
        <w:tblLook w:val="04A0" w:firstRow="1" w:lastRow="0" w:firstColumn="1" w:lastColumn="0" w:noHBand="0" w:noVBand="1"/>
        <w:tblCaption w:val="Second Year Spring Semester"/>
        <w:tblDescription w:val="This table lists the recommended second-year spring semester courses for the program, including course titles and credit hours"/>
      </w:tblPr>
      <w:tblGrid>
        <w:gridCol w:w="9893"/>
        <w:gridCol w:w="906"/>
      </w:tblGrid>
      <w:tr w:rsidR="00961152" w14:paraId="1DFD2480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071BDE5A" w14:textId="77777777" w:rsidR="00961152" w:rsidRDefault="00961152" w:rsidP="005A0D87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532DC576" w14:textId="77777777" w:rsidR="00961152" w:rsidRDefault="00961152" w:rsidP="005A0D87">
            <w:pPr>
              <w:pStyle w:val="Heading3"/>
              <w:jc w:val="center"/>
            </w:pPr>
            <w:r>
              <w:t>Credits</w:t>
            </w:r>
          </w:p>
        </w:tc>
      </w:tr>
      <w:tr w:rsidR="00961152" w14:paraId="2F504156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136DF3CE" w14:textId="5940182E" w:rsidR="00961152" w:rsidRDefault="008023E2" w:rsidP="005A0D87">
            <w:r>
              <w:t>ITP 4600 Clinical Pathophysiology</w:t>
            </w:r>
          </w:p>
        </w:tc>
        <w:tc>
          <w:tcPr>
            <w:tcW w:w="906" w:type="dxa"/>
            <w:vAlign w:val="center"/>
          </w:tcPr>
          <w:p w14:paraId="7C2EED3D" w14:textId="0AEC92BA" w:rsidR="00961152" w:rsidRDefault="008023E2" w:rsidP="005A0D87">
            <w:pPr>
              <w:jc w:val="center"/>
            </w:pPr>
            <w:r>
              <w:t>4</w:t>
            </w:r>
          </w:p>
        </w:tc>
      </w:tr>
      <w:tr w:rsidR="00961152" w14:paraId="1122B12B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34E7439B" w14:textId="00DA4D55" w:rsidR="00961152" w:rsidRDefault="008023E2" w:rsidP="005A0D87">
            <w:r>
              <w:t>NUT 2040 Introduction to Nutrition</w:t>
            </w:r>
          </w:p>
        </w:tc>
        <w:tc>
          <w:tcPr>
            <w:tcW w:w="906" w:type="dxa"/>
            <w:vAlign w:val="center"/>
          </w:tcPr>
          <w:p w14:paraId="2719501A" w14:textId="30C5A045" w:rsidR="00961152" w:rsidRDefault="008023E2" w:rsidP="005A0D87">
            <w:pPr>
              <w:jc w:val="center"/>
            </w:pPr>
            <w:r>
              <w:t>3</w:t>
            </w:r>
          </w:p>
        </w:tc>
      </w:tr>
      <w:tr w:rsidR="00961152" w14:paraId="75215E96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7AF3692D" w14:textId="2C96A66C" w:rsidR="00961152" w:rsidRDefault="008023E2" w:rsidP="005A0D87">
            <w:r>
              <w:t>Historical General Studies (see catalog for options)*</w:t>
            </w:r>
          </w:p>
        </w:tc>
        <w:tc>
          <w:tcPr>
            <w:tcW w:w="906" w:type="dxa"/>
            <w:vAlign w:val="center"/>
          </w:tcPr>
          <w:p w14:paraId="6716EA24" w14:textId="28A24179" w:rsidR="00961152" w:rsidRDefault="008023E2" w:rsidP="005A0D87">
            <w:pPr>
              <w:jc w:val="center"/>
            </w:pPr>
            <w:r>
              <w:t>3</w:t>
            </w:r>
          </w:p>
        </w:tc>
      </w:tr>
      <w:tr w:rsidR="00961152" w14:paraId="3A4DE83A" w14:textId="77777777" w:rsidTr="00671C9E">
        <w:trPr>
          <w:cantSplit/>
          <w:trHeight w:val="331"/>
          <w:tblHeader/>
        </w:trPr>
        <w:tc>
          <w:tcPr>
            <w:tcW w:w="9893" w:type="dxa"/>
            <w:vAlign w:val="center"/>
          </w:tcPr>
          <w:p w14:paraId="1C3695D5" w14:textId="4F98BA0D" w:rsidR="00961152" w:rsidRDefault="00CF05F0" w:rsidP="005A0D87">
            <w:r>
              <w:t>Arts &amp; Humanities General Studies (2 of 2) (see catalog for options)*</w:t>
            </w:r>
          </w:p>
        </w:tc>
        <w:tc>
          <w:tcPr>
            <w:tcW w:w="906" w:type="dxa"/>
            <w:vAlign w:val="center"/>
          </w:tcPr>
          <w:p w14:paraId="751ED13C" w14:textId="73B68097" w:rsidR="00961152" w:rsidRDefault="008023E2" w:rsidP="005A0D87">
            <w:pPr>
              <w:jc w:val="center"/>
            </w:pPr>
            <w:r>
              <w:t>3</w:t>
            </w:r>
          </w:p>
        </w:tc>
      </w:tr>
    </w:tbl>
    <w:p w14:paraId="2F5E3C1B" w14:textId="5B01DB16" w:rsidR="002E25EF" w:rsidRPr="00C24CFB" w:rsidRDefault="002E25EF" w:rsidP="007510D5">
      <w:pPr>
        <w:rPr>
          <w:sz w:val="8"/>
          <w:szCs w:val="10"/>
        </w:rPr>
      </w:pPr>
    </w:p>
    <w:p w14:paraId="713EC6A9" w14:textId="45ADE19F" w:rsidR="002E25EF" w:rsidRDefault="00700877" w:rsidP="00C24CFB">
      <w:pPr>
        <w:spacing w:after="80" w:line="259" w:lineRule="auto"/>
        <w:contextualSpacing w:val="0"/>
        <w:rPr>
          <w:rFonts w:cs="Arial"/>
          <w:sz w:val="16"/>
          <w:szCs w:val="18"/>
        </w:rPr>
      </w:pPr>
      <w:r w:rsidRPr="00E634D2">
        <w:rPr>
          <w:rFonts w:cs="Arial"/>
          <w:sz w:val="16"/>
          <w:szCs w:val="18"/>
        </w:rPr>
        <w:t>English and Math Placement determined by scores/high school grades</w:t>
      </w:r>
    </w:p>
    <w:p w14:paraId="0F5EB7A8" w14:textId="14443CC4" w:rsidR="00CF0F9F" w:rsidRPr="00E634D2" w:rsidRDefault="00CF0F9F" w:rsidP="00C24CFB">
      <w:pPr>
        <w:spacing w:after="80" w:line="259" w:lineRule="auto"/>
        <w:contextualSpacing w:val="0"/>
        <w:rPr>
          <w:rFonts w:cs="Arial"/>
          <w:sz w:val="16"/>
          <w:szCs w:val="18"/>
        </w:rPr>
      </w:pPr>
      <w:r>
        <w:rPr>
          <w:rFonts w:cs="Arial"/>
          <w:sz w:val="16"/>
          <w:szCs w:val="18"/>
        </w:rPr>
        <w:t>*</w:t>
      </w:r>
      <w:r w:rsidRPr="00CF0F9F">
        <w:rPr>
          <w:rFonts w:cs="Arial"/>
          <w:b/>
          <w:bCs/>
          <w:sz w:val="16"/>
          <w:szCs w:val="18"/>
        </w:rPr>
        <w:t xml:space="preserve"> </w:t>
      </w:r>
      <w:r w:rsidRPr="00175138">
        <w:rPr>
          <w:rFonts w:cs="Arial"/>
          <w:sz w:val="16"/>
          <w:szCs w:val="18"/>
        </w:rPr>
        <w:t>University Requirement:</w:t>
      </w:r>
      <w:r>
        <w:rPr>
          <w:rFonts w:cs="Arial"/>
          <w:sz w:val="16"/>
          <w:szCs w:val="18"/>
        </w:rPr>
        <w:t xml:space="preserve"> one general studies course must also meet the Global Diversity (GD) general studies requirement and one must meet the Ethnic Studies &amp; Social Justice (ESSJ) graduation requirement</w:t>
      </w:r>
    </w:p>
    <w:p w14:paraId="03720137" w14:textId="01B874C7" w:rsidR="00E634D2" w:rsidRDefault="00700877" w:rsidP="00C24CFB">
      <w:pPr>
        <w:spacing w:after="80" w:line="259" w:lineRule="auto"/>
        <w:contextualSpacing w:val="0"/>
        <w:rPr>
          <w:rFonts w:cs="Arial"/>
          <w:sz w:val="16"/>
          <w:szCs w:val="18"/>
        </w:rPr>
      </w:pPr>
      <w:r w:rsidRPr="00E634D2">
        <w:rPr>
          <w:rFonts w:cs="Arial"/>
          <w:sz w:val="16"/>
          <w:szCs w:val="18"/>
        </w:rPr>
        <w:t>*</w:t>
      </w:r>
      <w:r w:rsidR="00CF0F9F">
        <w:rPr>
          <w:rFonts w:cs="Arial"/>
          <w:sz w:val="16"/>
          <w:szCs w:val="18"/>
        </w:rPr>
        <w:t>*</w:t>
      </w:r>
      <w:r w:rsidRPr="00E634D2">
        <w:rPr>
          <w:rFonts w:cs="Arial"/>
          <w:sz w:val="16"/>
          <w:szCs w:val="18"/>
        </w:rPr>
        <w:t xml:space="preserve">Students can qualify for </w:t>
      </w:r>
      <w:r w:rsidRPr="00E634D2">
        <w:rPr>
          <w:rFonts w:cs="Arial"/>
          <w:b/>
          <w:bCs/>
          <w:sz w:val="16"/>
          <w:szCs w:val="18"/>
        </w:rPr>
        <w:t>CHE 1100</w:t>
      </w:r>
      <w:r w:rsidRPr="00E634D2">
        <w:rPr>
          <w:rFonts w:cs="Arial"/>
          <w:sz w:val="16"/>
          <w:szCs w:val="18"/>
        </w:rPr>
        <w:t xml:space="preserve"> by testing in (280 AAF</w:t>
      </w:r>
      <w:r w:rsidR="00C66DE3" w:rsidRPr="00E634D2">
        <w:rPr>
          <w:rFonts w:cs="Arial"/>
          <w:sz w:val="16"/>
          <w:szCs w:val="18"/>
        </w:rPr>
        <w:t>) or by completing a College Algebra course (MTH 1109, 1110, 1112, or 1115). Students can choose one of those College Algebra courses based on their AAF score if they did not make 280:</w:t>
      </w:r>
    </w:p>
    <w:p w14:paraId="379112C3" w14:textId="7BE3E2D4" w:rsidR="00E634D2" w:rsidRDefault="00E634D2" w:rsidP="00C24CFB">
      <w:pPr>
        <w:spacing w:after="80" w:line="259" w:lineRule="auto"/>
        <w:ind w:left="720"/>
        <w:contextualSpacing w:val="0"/>
        <w:rPr>
          <w:rFonts w:cs="Arial"/>
          <w:sz w:val="16"/>
          <w:szCs w:val="18"/>
        </w:rPr>
      </w:pPr>
      <w:r w:rsidRPr="00E634D2">
        <w:rPr>
          <w:rFonts w:cs="Arial"/>
          <w:sz w:val="16"/>
          <w:szCs w:val="18"/>
        </w:rPr>
        <w:t>210 or higher = MTH 1108 followed by MTH 1109 in a second semester</w:t>
      </w:r>
      <w:r w:rsidRPr="00E634D2">
        <w:rPr>
          <w:rFonts w:cs="Arial"/>
          <w:sz w:val="16"/>
          <w:szCs w:val="18"/>
        </w:rPr>
        <w:br/>
        <w:t>230 or higher = MTH 1111 along with MTH 1101 (lab) concurrently</w:t>
      </w:r>
      <w:r>
        <w:rPr>
          <w:rFonts w:cs="Arial"/>
          <w:sz w:val="16"/>
          <w:szCs w:val="18"/>
        </w:rPr>
        <w:br/>
        <w:t>235 or higher = MTH 1112</w:t>
      </w:r>
      <w:r>
        <w:rPr>
          <w:rFonts w:cs="Arial"/>
          <w:sz w:val="16"/>
          <w:szCs w:val="18"/>
        </w:rPr>
        <w:br/>
        <w:t>245 or higher = MTH 1110</w:t>
      </w:r>
    </w:p>
    <w:p w14:paraId="30CC09CA" w14:textId="1C64A5BA" w:rsidR="00C24CFB" w:rsidRDefault="00C24CFB" w:rsidP="00C24CFB">
      <w:pPr>
        <w:spacing w:after="80" w:line="259" w:lineRule="auto"/>
        <w:contextualSpacing w:val="0"/>
        <w:rPr>
          <w:rFonts w:cs="Arial"/>
          <w:sz w:val="16"/>
          <w:szCs w:val="18"/>
        </w:rPr>
      </w:pPr>
      <w:r>
        <w:rPr>
          <w:rFonts w:cs="Arial"/>
          <w:sz w:val="16"/>
          <w:szCs w:val="18"/>
        </w:rPr>
        <w:t>*</w:t>
      </w:r>
      <w:r w:rsidR="00CF0F9F">
        <w:rPr>
          <w:rFonts w:cs="Arial"/>
          <w:sz w:val="16"/>
          <w:szCs w:val="18"/>
        </w:rPr>
        <w:t>*</w:t>
      </w:r>
      <w:r>
        <w:rPr>
          <w:rFonts w:cs="Arial"/>
          <w:sz w:val="16"/>
          <w:szCs w:val="18"/>
        </w:rPr>
        <w:t>*CPD = Career and Personal Development, search for course descriptions in the Course Schedule or Academic Catalog</w:t>
      </w:r>
    </w:p>
    <w:sectPr w:rsidR="00C24CFB" w:rsidSect="00D32F35">
      <w:type w:val="continuous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52B9" w14:textId="77777777" w:rsidR="00491D72" w:rsidRDefault="00491D72" w:rsidP="007510D5">
      <w:r>
        <w:separator/>
      </w:r>
    </w:p>
  </w:endnote>
  <w:endnote w:type="continuationSeparator" w:id="0">
    <w:p w14:paraId="689D130E" w14:textId="77777777" w:rsidR="00491D72" w:rsidRDefault="00491D72" w:rsidP="0075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43BC" w14:textId="77777777" w:rsidR="00491D72" w:rsidRDefault="00491D72" w:rsidP="007510D5">
      <w:r>
        <w:separator/>
      </w:r>
    </w:p>
  </w:footnote>
  <w:footnote w:type="continuationSeparator" w:id="0">
    <w:p w14:paraId="447AD233" w14:textId="77777777" w:rsidR="00491D72" w:rsidRDefault="00491D72" w:rsidP="0075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60F"/>
    <w:multiLevelType w:val="hybridMultilevel"/>
    <w:tmpl w:val="292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470"/>
    <w:multiLevelType w:val="hybridMultilevel"/>
    <w:tmpl w:val="31E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984"/>
    <w:multiLevelType w:val="hybridMultilevel"/>
    <w:tmpl w:val="623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AD4"/>
    <w:multiLevelType w:val="hybridMultilevel"/>
    <w:tmpl w:val="E0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85A"/>
    <w:multiLevelType w:val="hybridMultilevel"/>
    <w:tmpl w:val="38B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19F4"/>
    <w:multiLevelType w:val="hybridMultilevel"/>
    <w:tmpl w:val="A64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9213D"/>
    <w:multiLevelType w:val="hybridMultilevel"/>
    <w:tmpl w:val="CDD4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A2ABB"/>
    <w:multiLevelType w:val="hybridMultilevel"/>
    <w:tmpl w:val="1092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A7492"/>
    <w:multiLevelType w:val="hybridMultilevel"/>
    <w:tmpl w:val="9D3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862A8"/>
    <w:multiLevelType w:val="hybridMultilevel"/>
    <w:tmpl w:val="2E56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F2953"/>
    <w:multiLevelType w:val="hybridMultilevel"/>
    <w:tmpl w:val="F9A0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A27AD"/>
    <w:multiLevelType w:val="hybridMultilevel"/>
    <w:tmpl w:val="88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01E49"/>
    <w:multiLevelType w:val="hybridMultilevel"/>
    <w:tmpl w:val="38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842B8"/>
    <w:multiLevelType w:val="hybridMultilevel"/>
    <w:tmpl w:val="A08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5568">
    <w:abstractNumId w:val="0"/>
  </w:num>
  <w:num w:numId="2" w16cid:durableId="1712413949">
    <w:abstractNumId w:val="1"/>
  </w:num>
  <w:num w:numId="3" w16cid:durableId="842209992">
    <w:abstractNumId w:val="2"/>
  </w:num>
  <w:num w:numId="4" w16cid:durableId="248194139">
    <w:abstractNumId w:val="9"/>
  </w:num>
  <w:num w:numId="5" w16cid:durableId="1611858375">
    <w:abstractNumId w:val="10"/>
  </w:num>
  <w:num w:numId="6" w16cid:durableId="768550176">
    <w:abstractNumId w:val="13"/>
  </w:num>
  <w:num w:numId="7" w16cid:durableId="1740862564">
    <w:abstractNumId w:val="11"/>
  </w:num>
  <w:num w:numId="8" w16cid:durableId="1440562424">
    <w:abstractNumId w:val="4"/>
  </w:num>
  <w:num w:numId="9" w16cid:durableId="1343051125">
    <w:abstractNumId w:val="3"/>
  </w:num>
  <w:num w:numId="10" w16cid:durableId="5445062">
    <w:abstractNumId w:val="12"/>
  </w:num>
  <w:num w:numId="11" w16cid:durableId="185336367">
    <w:abstractNumId w:val="8"/>
  </w:num>
  <w:num w:numId="12" w16cid:durableId="2086756476">
    <w:abstractNumId w:val="5"/>
  </w:num>
  <w:num w:numId="13" w16cid:durableId="323945673">
    <w:abstractNumId w:val="6"/>
  </w:num>
  <w:num w:numId="14" w16cid:durableId="610238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4"/>
    <w:rsid w:val="000534FC"/>
    <w:rsid w:val="00061C32"/>
    <w:rsid w:val="00097714"/>
    <w:rsid w:val="000C0818"/>
    <w:rsid w:val="000D170E"/>
    <w:rsid w:val="0013050F"/>
    <w:rsid w:val="00142E5E"/>
    <w:rsid w:val="00175138"/>
    <w:rsid w:val="00194BB6"/>
    <w:rsid w:val="00196EA2"/>
    <w:rsid w:val="0021177A"/>
    <w:rsid w:val="00270730"/>
    <w:rsid w:val="00274DC5"/>
    <w:rsid w:val="002A56B8"/>
    <w:rsid w:val="002E25EF"/>
    <w:rsid w:val="00316C42"/>
    <w:rsid w:val="00322C6D"/>
    <w:rsid w:val="00324170"/>
    <w:rsid w:val="003340CA"/>
    <w:rsid w:val="00373105"/>
    <w:rsid w:val="0037536A"/>
    <w:rsid w:val="0039113C"/>
    <w:rsid w:val="003C5DFD"/>
    <w:rsid w:val="003D22FA"/>
    <w:rsid w:val="003D4F06"/>
    <w:rsid w:val="003F3FD1"/>
    <w:rsid w:val="00410B57"/>
    <w:rsid w:val="00420A6F"/>
    <w:rsid w:val="00491D72"/>
    <w:rsid w:val="004C0EF2"/>
    <w:rsid w:val="004F2F52"/>
    <w:rsid w:val="005041D3"/>
    <w:rsid w:val="005120F4"/>
    <w:rsid w:val="0051496E"/>
    <w:rsid w:val="005368CA"/>
    <w:rsid w:val="005423AC"/>
    <w:rsid w:val="005B0E40"/>
    <w:rsid w:val="00671C9E"/>
    <w:rsid w:val="006A7FF7"/>
    <w:rsid w:val="006E5101"/>
    <w:rsid w:val="00700877"/>
    <w:rsid w:val="007510D5"/>
    <w:rsid w:val="0075354B"/>
    <w:rsid w:val="007840BF"/>
    <w:rsid w:val="00786FCF"/>
    <w:rsid w:val="008023E2"/>
    <w:rsid w:val="008421AC"/>
    <w:rsid w:val="008743AF"/>
    <w:rsid w:val="008768DA"/>
    <w:rsid w:val="00893D84"/>
    <w:rsid w:val="008E4F03"/>
    <w:rsid w:val="008F6BCE"/>
    <w:rsid w:val="00961152"/>
    <w:rsid w:val="009909A6"/>
    <w:rsid w:val="009A30BC"/>
    <w:rsid w:val="009E010A"/>
    <w:rsid w:val="009F703F"/>
    <w:rsid w:val="00A25D99"/>
    <w:rsid w:val="00A27215"/>
    <w:rsid w:val="00A33258"/>
    <w:rsid w:val="00A454E1"/>
    <w:rsid w:val="00A52294"/>
    <w:rsid w:val="00A7186F"/>
    <w:rsid w:val="00AB1B67"/>
    <w:rsid w:val="00AC6B2C"/>
    <w:rsid w:val="00AF1843"/>
    <w:rsid w:val="00B13225"/>
    <w:rsid w:val="00B14972"/>
    <w:rsid w:val="00C1134D"/>
    <w:rsid w:val="00C21BD7"/>
    <w:rsid w:val="00C22E58"/>
    <w:rsid w:val="00C24CFB"/>
    <w:rsid w:val="00C31638"/>
    <w:rsid w:val="00C47221"/>
    <w:rsid w:val="00C50A30"/>
    <w:rsid w:val="00C63814"/>
    <w:rsid w:val="00C66DE3"/>
    <w:rsid w:val="00C77E8E"/>
    <w:rsid w:val="00C8786C"/>
    <w:rsid w:val="00CD60E4"/>
    <w:rsid w:val="00CF05F0"/>
    <w:rsid w:val="00CF0F9F"/>
    <w:rsid w:val="00D32F35"/>
    <w:rsid w:val="00D429F7"/>
    <w:rsid w:val="00DB72C9"/>
    <w:rsid w:val="00DE24EA"/>
    <w:rsid w:val="00E36723"/>
    <w:rsid w:val="00E634D2"/>
    <w:rsid w:val="00E957CB"/>
    <w:rsid w:val="00EA2C39"/>
    <w:rsid w:val="00F07127"/>
    <w:rsid w:val="00F54D3F"/>
    <w:rsid w:val="00F558B3"/>
    <w:rsid w:val="00F5672A"/>
    <w:rsid w:val="00F671CA"/>
    <w:rsid w:val="00F81F6C"/>
    <w:rsid w:val="00FA259F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AEC"/>
  <w15:chartTrackingRefBased/>
  <w15:docId w15:val="{912A5779-EFF2-4AE6-9366-BBC0DB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F4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4B"/>
    <w:pPr>
      <w:keepNext/>
      <w:keepLines/>
      <w:spacing w:before="120"/>
      <w:jc w:val="center"/>
      <w:outlineLvl w:val="0"/>
    </w:pPr>
    <w:rPr>
      <w:rFonts w:eastAsiaTheme="majorEastAsia" w:cstheme="majorBidi"/>
      <w:b/>
      <w:color w:val="0F4761" w:themeColor="accent1" w:themeShade="BF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4D2"/>
    <w:pPr>
      <w:keepNext/>
      <w:keepLines/>
      <w:spacing w:before="80" w:after="80"/>
      <w:outlineLvl w:val="1"/>
    </w:pPr>
    <w:rPr>
      <w:rFonts w:eastAsiaTheme="majorEastAsia" w:cstheme="majorBidi"/>
      <w:b/>
      <w:color w:val="C0000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2FA"/>
    <w:pPr>
      <w:keepNext/>
      <w:keepLines/>
      <w:outlineLvl w:val="2"/>
    </w:pPr>
    <w:rPr>
      <w:rFonts w:eastAsiaTheme="majorEastAsia" w:cstheme="majorBidi"/>
      <w:b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4B"/>
    <w:rPr>
      <w:rFonts w:ascii="Arial" w:eastAsiaTheme="majorEastAsia" w:hAnsi="Arial" w:cstheme="majorBidi"/>
      <w:b/>
      <w:color w:val="0F476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34D2"/>
    <w:rPr>
      <w:rFonts w:ascii="Arial" w:eastAsiaTheme="majorEastAsia" w:hAnsi="Arial" w:cstheme="majorBidi"/>
      <w:b/>
      <w:color w:val="C0000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22FA"/>
    <w:rPr>
      <w:rFonts w:ascii="Arial" w:eastAsiaTheme="majorEastAsia" w:hAnsi="Arial" w:cstheme="majorBidi"/>
      <w:b/>
      <w:color w:val="0F4761" w:themeColor="accent1" w:themeShade="B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94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52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D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0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1058</Words>
  <Characters>6035</Characters>
  <Application>Microsoft Office Word</Application>
  <DocSecurity>0</DocSecurity>
  <Lines>50</Lines>
  <Paragraphs>14</Paragraphs>
  <ScaleCrop>false</ScaleCrop>
  <Company>Metropolitan State University of Denver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Plamp</dc:creator>
  <cp:keywords/>
  <dc:description/>
  <cp:lastModifiedBy>Caitlin Plamp</cp:lastModifiedBy>
  <cp:revision>24</cp:revision>
  <dcterms:created xsi:type="dcterms:W3CDTF">2025-06-11T17:58:00Z</dcterms:created>
  <dcterms:modified xsi:type="dcterms:W3CDTF">2025-06-11T18:30:00Z</dcterms:modified>
</cp:coreProperties>
</file>