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94" w:rsidRPr="00463E61" w:rsidRDefault="00F45509" w:rsidP="009F19C2">
      <w:pPr>
        <w:jc w:val="center"/>
        <w:rPr>
          <w:b/>
          <w:sz w:val="20"/>
          <w:szCs w:val="20"/>
        </w:rPr>
      </w:pPr>
      <w:r w:rsidRPr="00463E61">
        <w:rPr>
          <w:b/>
          <w:sz w:val="20"/>
          <w:szCs w:val="20"/>
        </w:rPr>
        <w:t>DIFFERENCES AND SIMI</w:t>
      </w:r>
      <w:r w:rsidR="007B4448">
        <w:rPr>
          <w:b/>
          <w:sz w:val="20"/>
          <w:szCs w:val="20"/>
        </w:rPr>
        <w:t>L</w:t>
      </w:r>
      <w:bookmarkStart w:id="0" w:name="_GoBack"/>
      <w:bookmarkEnd w:id="0"/>
      <w:r w:rsidR="007B4448">
        <w:rPr>
          <w:b/>
          <w:sz w:val="20"/>
          <w:szCs w:val="20"/>
        </w:rPr>
        <w:t>ARITIES BETWEEN ADMINISTRATOR</w:t>
      </w:r>
      <w:r w:rsidRPr="00463E61">
        <w:rPr>
          <w:b/>
          <w:sz w:val="20"/>
          <w:szCs w:val="20"/>
        </w:rPr>
        <w:t xml:space="preserve"> AND CLASSIFIED STATUS</w:t>
      </w:r>
    </w:p>
    <w:p w:rsidR="00C31706" w:rsidRPr="00463E61" w:rsidRDefault="00C31706" w:rsidP="009F19C2">
      <w:pPr>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2"/>
        <w:gridCol w:w="5440"/>
        <w:gridCol w:w="5626"/>
      </w:tblGrid>
      <w:tr w:rsidR="00EC22AB" w:rsidRPr="00463E61" w:rsidTr="00F17C30">
        <w:trPr>
          <w:trHeight w:val="427"/>
        </w:trPr>
        <w:tc>
          <w:tcPr>
            <w:tcW w:w="2002" w:type="dxa"/>
          </w:tcPr>
          <w:p w:rsidR="00045CD9" w:rsidRPr="00463E61" w:rsidRDefault="00045CD9" w:rsidP="002C0742">
            <w:pPr>
              <w:rPr>
                <w:b/>
                <w:sz w:val="20"/>
                <w:szCs w:val="20"/>
              </w:rPr>
            </w:pPr>
            <w:r w:rsidRPr="00463E61">
              <w:rPr>
                <w:b/>
                <w:sz w:val="20"/>
                <w:szCs w:val="20"/>
              </w:rPr>
              <w:t>TOPICS</w:t>
            </w:r>
          </w:p>
        </w:tc>
        <w:tc>
          <w:tcPr>
            <w:tcW w:w="5440" w:type="dxa"/>
          </w:tcPr>
          <w:p w:rsidR="00045CD9" w:rsidRPr="00463E61" w:rsidRDefault="00045CD9" w:rsidP="002C0742">
            <w:pPr>
              <w:rPr>
                <w:b/>
                <w:sz w:val="20"/>
                <w:szCs w:val="20"/>
              </w:rPr>
            </w:pPr>
            <w:r w:rsidRPr="00463E61">
              <w:rPr>
                <w:b/>
                <w:sz w:val="20"/>
                <w:szCs w:val="20"/>
              </w:rPr>
              <w:t>CLASSIFIED STATUS</w:t>
            </w:r>
          </w:p>
        </w:tc>
        <w:tc>
          <w:tcPr>
            <w:tcW w:w="5626" w:type="dxa"/>
          </w:tcPr>
          <w:p w:rsidR="00045CD9" w:rsidRPr="00463E61" w:rsidRDefault="00045CD9" w:rsidP="002C0742">
            <w:pPr>
              <w:rPr>
                <w:b/>
                <w:sz w:val="20"/>
                <w:szCs w:val="20"/>
              </w:rPr>
            </w:pPr>
            <w:r w:rsidRPr="00463E61">
              <w:rPr>
                <w:b/>
                <w:sz w:val="20"/>
                <w:szCs w:val="20"/>
              </w:rPr>
              <w:t xml:space="preserve">    ADMINISTRATIVE/EXEMPT STATUS</w:t>
            </w:r>
          </w:p>
        </w:tc>
      </w:tr>
      <w:tr w:rsidR="00EC22AB" w:rsidRPr="00463E61" w:rsidTr="00F17C30">
        <w:trPr>
          <w:trHeight w:val="1360"/>
        </w:trPr>
        <w:tc>
          <w:tcPr>
            <w:tcW w:w="2002" w:type="dxa"/>
          </w:tcPr>
          <w:p w:rsidR="00045CD9" w:rsidRPr="00463E61" w:rsidRDefault="00045CD9" w:rsidP="009F19C2">
            <w:pPr>
              <w:pStyle w:val="NoSpacing"/>
              <w:rPr>
                <w:sz w:val="20"/>
                <w:szCs w:val="20"/>
              </w:rPr>
            </w:pPr>
            <w:r w:rsidRPr="00463E61">
              <w:rPr>
                <w:sz w:val="20"/>
                <w:szCs w:val="20"/>
              </w:rPr>
              <w:t>Laws, Rules &amp; Policies</w:t>
            </w:r>
          </w:p>
        </w:tc>
        <w:tc>
          <w:tcPr>
            <w:tcW w:w="5440" w:type="dxa"/>
          </w:tcPr>
          <w:p w:rsidR="008454F0" w:rsidRPr="00463E61" w:rsidRDefault="002316A2" w:rsidP="009F19C2">
            <w:pPr>
              <w:pStyle w:val="NoSpacing"/>
              <w:rPr>
                <w:sz w:val="20"/>
                <w:szCs w:val="20"/>
              </w:rPr>
            </w:pPr>
            <w:r w:rsidRPr="00463E61">
              <w:rPr>
                <w:sz w:val="20"/>
                <w:szCs w:val="20"/>
              </w:rPr>
              <w:t>State Personnel Board (SPB) Rules and Administrative Procedures that cover all aspects of classified service govern classified employees</w:t>
            </w:r>
            <w:r w:rsidR="009F19C2" w:rsidRPr="00463E61">
              <w:rPr>
                <w:sz w:val="20"/>
                <w:szCs w:val="20"/>
              </w:rPr>
              <w:t>.</w:t>
            </w:r>
            <w:r w:rsidR="000B528F" w:rsidRPr="00463E61">
              <w:rPr>
                <w:sz w:val="20"/>
                <w:szCs w:val="20"/>
              </w:rPr>
              <w:t xml:space="preserve">  SPB Rule Ch. 1</w:t>
            </w:r>
          </w:p>
        </w:tc>
        <w:tc>
          <w:tcPr>
            <w:tcW w:w="5626" w:type="dxa"/>
          </w:tcPr>
          <w:p w:rsidR="00045CD9" w:rsidRPr="00463E61" w:rsidRDefault="007B4448" w:rsidP="007B4448">
            <w:pPr>
              <w:pStyle w:val="NoSpacing"/>
              <w:spacing w:before="100" w:after="100"/>
              <w:rPr>
                <w:sz w:val="20"/>
                <w:szCs w:val="20"/>
              </w:rPr>
            </w:pPr>
            <w:r>
              <w:rPr>
                <w:sz w:val="20"/>
                <w:szCs w:val="20"/>
              </w:rPr>
              <w:t xml:space="preserve">Administrative </w:t>
            </w:r>
            <w:r w:rsidR="00F679F7" w:rsidRPr="00463E61">
              <w:rPr>
                <w:sz w:val="20"/>
                <w:szCs w:val="20"/>
              </w:rPr>
              <w:t xml:space="preserve">employees </w:t>
            </w:r>
            <w:r w:rsidR="00045CD9" w:rsidRPr="00463E61">
              <w:rPr>
                <w:sz w:val="20"/>
                <w:szCs w:val="20"/>
              </w:rPr>
              <w:t xml:space="preserve">are </w:t>
            </w:r>
            <w:r w:rsidR="00045CD9" w:rsidRPr="00463E61">
              <w:rPr>
                <w:sz w:val="20"/>
                <w:szCs w:val="20"/>
                <w:u w:val="single"/>
              </w:rPr>
              <w:t>not</w:t>
            </w:r>
            <w:r w:rsidR="00045CD9" w:rsidRPr="00463E61">
              <w:rPr>
                <w:sz w:val="20"/>
                <w:szCs w:val="20"/>
              </w:rPr>
              <w:t xml:space="preserve"> governed by </w:t>
            </w:r>
            <w:r w:rsidR="009F19C2" w:rsidRPr="00463E61">
              <w:rPr>
                <w:sz w:val="20"/>
                <w:szCs w:val="20"/>
              </w:rPr>
              <w:t xml:space="preserve">SPB </w:t>
            </w:r>
            <w:r w:rsidR="002316A2" w:rsidRPr="00463E61">
              <w:rPr>
                <w:sz w:val="20"/>
                <w:szCs w:val="20"/>
              </w:rPr>
              <w:t>Rules,</w:t>
            </w:r>
            <w:r w:rsidR="009F19C2" w:rsidRPr="00463E61">
              <w:rPr>
                <w:sz w:val="20"/>
                <w:szCs w:val="20"/>
              </w:rPr>
              <w:t xml:space="preserve"> as they are exempt from the classified system.</w:t>
            </w:r>
            <w:r>
              <w:rPr>
                <w:sz w:val="20"/>
                <w:szCs w:val="20"/>
              </w:rPr>
              <w:t xml:space="preserve">   The Handbook for Professional Personnel governs Faculty and Administrative employment.</w:t>
            </w:r>
          </w:p>
        </w:tc>
      </w:tr>
      <w:tr w:rsidR="0069452B" w:rsidRPr="00463E61" w:rsidTr="007B4448">
        <w:trPr>
          <w:trHeight w:val="2384"/>
        </w:trPr>
        <w:tc>
          <w:tcPr>
            <w:tcW w:w="2002" w:type="dxa"/>
          </w:tcPr>
          <w:p w:rsidR="00850684" w:rsidRPr="00463E61" w:rsidRDefault="00850684" w:rsidP="009F19C2">
            <w:pPr>
              <w:pStyle w:val="NoSpacing"/>
              <w:rPr>
                <w:sz w:val="20"/>
                <w:szCs w:val="20"/>
              </w:rPr>
            </w:pPr>
          </w:p>
          <w:p w:rsidR="008454F0" w:rsidRPr="00463E61" w:rsidRDefault="008454F0" w:rsidP="009F19C2">
            <w:pPr>
              <w:pStyle w:val="NoSpacing"/>
              <w:rPr>
                <w:sz w:val="20"/>
                <w:szCs w:val="20"/>
              </w:rPr>
            </w:pPr>
            <w:r w:rsidRPr="00463E61">
              <w:rPr>
                <w:sz w:val="20"/>
                <w:szCs w:val="20"/>
              </w:rPr>
              <w:t>Recruitment and Hiring Practices</w:t>
            </w:r>
          </w:p>
        </w:tc>
        <w:tc>
          <w:tcPr>
            <w:tcW w:w="5440" w:type="dxa"/>
          </w:tcPr>
          <w:p w:rsidR="00F17C30" w:rsidRPr="00463E61" w:rsidRDefault="00F17C30" w:rsidP="00224AA2">
            <w:pPr>
              <w:pStyle w:val="NoSpacing"/>
              <w:rPr>
                <w:sz w:val="20"/>
                <w:szCs w:val="20"/>
              </w:rPr>
            </w:pPr>
          </w:p>
          <w:p w:rsidR="00463E61" w:rsidRPr="007B4448" w:rsidRDefault="00224AA2" w:rsidP="007B4448">
            <w:pPr>
              <w:ind w:left="-13"/>
              <w:rPr>
                <w:b/>
                <w:sz w:val="20"/>
                <w:szCs w:val="20"/>
              </w:rPr>
            </w:pPr>
            <w:r w:rsidRPr="00463E61">
              <w:rPr>
                <w:sz w:val="20"/>
                <w:szCs w:val="20"/>
              </w:rPr>
              <w:t xml:space="preserve">Governed by SPB Rules </w:t>
            </w:r>
            <w:r w:rsidR="000B528F" w:rsidRPr="00463E61">
              <w:rPr>
                <w:sz w:val="20"/>
                <w:szCs w:val="20"/>
              </w:rPr>
              <w:t xml:space="preserve">and </w:t>
            </w:r>
            <w:r w:rsidR="002316A2" w:rsidRPr="00463E61">
              <w:rPr>
                <w:sz w:val="20"/>
                <w:szCs w:val="20"/>
              </w:rPr>
              <w:t>Administrative Procedures</w:t>
            </w:r>
            <w:r w:rsidRPr="00463E61">
              <w:rPr>
                <w:sz w:val="20"/>
                <w:szCs w:val="20"/>
              </w:rPr>
              <w:t xml:space="preserve">.  Applicants must be Colorado residents and only the top three scored candidates may be referred for selection for first vacancy, and one more for each identical vacancy.  </w:t>
            </w:r>
            <w:r w:rsidR="002316A2" w:rsidRPr="00463E61">
              <w:rPr>
                <w:sz w:val="20"/>
                <w:szCs w:val="20"/>
              </w:rPr>
              <w:t>SPB Rule and Administrative Procedures govern exams</w:t>
            </w:r>
            <w:r w:rsidR="00E92B82" w:rsidRPr="00463E61">
              <w:rPr>
                <w:sz w:val="20"/>
                <w:szCs w:val="20"/>
              </w:rPr>
              <w:t xml:space="preserve">.  </w:t>
            </w:r>
            <w:r w:rsidRPr="00463E61">
              <w:rPr>
                <w:sz w:val="20"/>
                <w:szCs w:val="20"/>
              </w:rPr>
              <w:t xml:space="preserve">Temporary employment cannot exceed six months in a rolling </w:t>
            </w:r>
            <w:r w:rsidR="002316A2" w:rsidRPr="00463E61">
              <w:rPr>
                <w:sz w:val="20"/>
                <w:szCs w:val="20"/>
              </w:rPr>
              <w:t>12-month</w:t>
            </w:r>
            <w:r w:rsidRPr="00463E61">
              <w:rPr>
                <w:sz w:val="20"/>
                <w:szCs w:val="20"/>
              </w:rPr>
              <w:t xml:space="preserve"> period.</w:t>
            </w:r>
            <w:r w:rsidR="000B528F" w:rsidRPr="00463E61">
              <w:rPr>
                <w:sz w:val="20"/>
                <w:szCs w:val="20"/>
              </w:rPr>
              <w:t xml:space="preserve">  SPB Rules Ch. 4</w:t>
            </w:r>
            <w:r w:rsidR="00463E61" w:rsidRPr="00463E61">
              <w:rPr>
                <w:b/>
                <w:sz w:val="20"/>
                <w:szCs w:val="20"/>
              </w:rPr>
              <w:t xml:space="preserve"> </w:t>
            </w:r>
          </w:p>
        </w:tc>
        <w:tc>
          <w:tcPr>
            <w:tcW w:w="5626" w:type="dxa"/>
          </w:tcPr>
          <w:p w:rsidR="00F17C30" w:rsidRPr="00463E61" w:rsidRDefault="00F17C30" w:rsidP="000A58EC">
            <w:pPr>
              <w:pStyle w:val="NoSpacing"/>
              <w:rPr>
                <w:sz w:val="20"/>
                <w:szCs w:val="20"/>
              </w:rPr>
            </w:pPr>
          </w:p>
          <w:p w:rsidR="008454F0" w:rsidRPr="00463E61" w:rsidRDefault="00E92B82" w:rsidP="000A58EC">
            <w:pPr>
              <w:pStyle w:val="NoSpacing"/>
              <w:rPr>
                <w:sz w:val="20"/>
                <w:szCs w:val="20"/>
              </w:rPr>
            </w:pPr>
            <w:r w:rsidRPr="00463E61">
              <w:rPr>
                <w:sz w:val="20"/>
                <w:szCs w:val="20"/>
              </w:rPr>
              <w:t>Recruitment and hiring practices are g</w:t>
            </w:r>
            <w:r w:rsidR="00D56CF7" w:rsidRPr="00463E61">
              <w:rPr>
                <w:sz w:val="20"/>
                <w:szCs w:val="20"/>
              </w:rPr>
              <w:t>overned by Metro</w:t>
            </w:r>
            <w:r w:rsidR="000A58EC" w:rsidRPr="00463E61">
              <w:rPr>
                <w:sz w:val="20"/>
                <w:szCs w:val="20"/>
              </w:rPr>
              <w:t>politan</w:t>
            </w:r>
            <w:r w:rsidR="00D56CF7" w:rsidRPr="00463E61">
              <w:rPr>
                <w:sz w:val="20"/>
                <w:szCs w:val="20"/>
              </w:rPr>
              <w:t xml:space="preserve"> </w:t>
            </w:r>
            <w:r w:rsidR="000A58EC" w:rsidRPr="00463E61">
              <w:rPr>
                <w:sz w:val="20"/>
                <w:szCs w:val="20"/>
              </w:rPr>
              <w:t xml:space="preserve">State </w:t>
            </w:r>
            <w:r w:rsidR="00CD18FF">
              <w:rPr>
                <w:sz w:val="20"/>
                <w:szCs w:val="20"/>
              </w:rPr>
              <w:t>University</w:t>
            </w:r>
            <w:r w:rsidR="000A58EC" w:rsidRPr="00463E61">
              <w:rPr>
                <w:sz w:val="20"/>
                <w:szCs w:val="20"/>
              </w:rPr>
              <w:t xml:space="preserve"> of Denver’s</w:t>
            </w:r>
            <w:r w:rsidR="00D56CF7" w:rsidRPr="00463E61">
              <w:rPr>
                <w:sz w:val="20"/>
                <w:szCs w:val="20"/>
              </w:rPr>
              <w:t xml:space="preserve"> </w:t>
            </w:r>
            <w:r w:rsidR="000A58EC" w:rsidRPr="00463E61">
              <w:rPr>
                <w:sz w:val="20"/>
                <w:szCs w:val="20"/>
              </w:rPr>
              <w:t>(</w:t>
            </w:r>
            <w:r w:rsidR="00CD18FF">
              <w:rPr>
                <w:sz w:val="20"/>
                <w:szCs w:val="20"/>
              </w:rPr>
              <w:t>MSU</w:t>
            </w:r>
            <w:r w:rsidR="00CB6D5A">
              <w:rPr>
                <w:sz w:val="20"/>
                <w:szCs w:val="20"/>
              </w:rPr>
              <w:t xml:space="preserve"> </w:t>
            </w:r>
            <w:r w:rsidR="00CD18FF">
              <w:rPr>
                <w:sz w:val="20"/>
                <w:szCs w:val="20"/>
              </w:rPr>
              <w:t>D</w:t>
            </w:r>
            <w:r w:rsidR="00CB6D5A">
              <w:rPr>
                <w:sz w:val="20"/>
                <w:szCs w:val="20"/>
              </w:rPr>
              <w:t>enver</w:t>
            </w:r>
            <w:r w:rsidR="000A58EC" w:rsidRPr="00463E61">
              <w:rPr>
                <w:sz w:val="20"/>
                <w:szCs w:val="20"/>
              </w:rPr>
              <w:t xml:space="preserve">) </w:t>
            </w:r>
            <w:r w:rsidR="00D56CF7" w:rsidRPr="00463E61">
              <w:rPr>
                <w:sz w:val="20"/>
                <w:szCs w:val="20"/>
              </w:rPr>
              <w:t>law</w:t>
            </w:r>
            <w:r w:rsidR="000A58EC" w:rsidRPr="00463E61">
              <w:rPr>
                <w:sz w:val="20"/>
                <w:szCs w:val="20"/>
              </w:rPr>
              <w:t>s</w:t>
            </w:r>
            <w:r w:rsidR="00D56CF7" w:rsidRPr="00463E61">
              <w:rPr>
                <w:sz w:val="20"/>
                <w:szCs w:val="20"/>
              </w:rPr>
              <w:t>, rules</w:t>
            </w:r>
            <w:r w:rsidR="000A58EC" w:rsidRPr="00463E61">
              <w:rPr>
                <w:sz w:val="20"/>
                <w:szCs w:val="20"/>
              </w:rPr>
              <w:t>,</w:t>
            </w:r>
            <w:r w:rsidR="00D56CF7" w:rsidRPr="00463E61">
              <w:rPr>
                <w:sz w:val="20"/>
                <w:szCs w:val="20"/>
              </w:rPr>
              <w:t xml:space="preserve"> policies</w:t>
            </w:r>
            <w:r w:rsidR="000A58EC" w:rsidRPr="00463E61">
              <w:rPr>
                <w:sz w:val="20"/>
                <w:szCs w:val="20"/>
              </w:rPr>
              <w:t xml:space="preserve"> and procedures</w:t>
            </w:r>
            <w:r w:rsidR="00D56CF7" w:rsidRPr="00463E61">
              <w:rPr>
                <w:sz w:val="20"/>
                <w:szCs w:val="20"/>
              </w:rPr>
              <w:t>.  Applicants are not req</w:t>
            </w:r>
            <w:r w:rsidR="007B4448">
              <w:rPr>
                <w:sz w:val="20"/>
                <w:szCs w:val="20"/>
              </w:rPr>
              <w:t xml:space="preserve">uired to be Colorado </w:t>
            </w:r>
            <w:r w:rsidR="002316A2">
              <w:rPr>
                <w:sz w:val="20"/>
                <w:szCs w:val="20"/>
              </w:rPr>
              <w:t>residents,</w:t>
            </w:r>
            <w:r w:rsidR="002316A2" w:rsidRPr="00463E61">
              <w:rPr>
                <w:sz w:val="20"/>
                <w:szCs w:val="20"/>
              </w:rPr>
              <w:t xml:space="preserve"> and</w:t>
            </w:r>
            <w:r w:rsidR="00D56CF7" w:rsidRPr="00463E61">
              <w:rPr>
                <w:sz w:val="20"/>
                <w:szCs w:val="20"/>
              </w:rPr>
              <w:t xml:space="preserve"> temporary employment may exceed six months.</w:t>
            </w:r>
          </w:p>
          <w:p w:rsidR="00F17C30" w:rsidRPr="00463E61" w:rsidRDefault="00F17C30" w:rsidP="000A58EC">
            <w:pPr>
              <w:pStyle w:val="NoSpacing"/>
              <w:rPr>
                <w:sz w:val="20"/>
                <w:szCs w:val="20"/>
              </w:rPr>
            </w:pPr>
          </w:p>
        </w:tc>
      </w:tr>
      <w:tr w:rsidR="00850684" w:rsidRPr="00463E61" w:rsidTr="00F17C30">
        <w:trPr>
          <w:trHeight w:val="1897"/>
        </w:trPr>
        <w:tc>
          <w:tcPr>
            <w:tcW w:w="2002" w:type="dxa"/>
          </w:tcPr>
          <w:p w:rsidR="00850684" w:rsidRPr="00463E61" w:rsidRDefault="00316AAA" w:rsidP="009F19C2">
            <w:pPr>
              <w:pStyle w:val="NoSpacing"/>
              <w:rPr>
                <w:sz w:val="20"/>
                <w:szCs w:val="20"/>
              </w:rPr>
            </w:pPr>
            <w:r w:rsidRPr="00463E61">
              <w:rPr>
                <w:sz w:val="20"/>
                <w:szCs w:val="20"/>
              </w:rPr>
              <w:t>Compensation</w:t>
            </w:r>
          </w:p>
        </w:tc>
        <w:tc>
          <w:tcPr>
            <w:tcW w:w="5440" w:type="dxa"/>
          </w:tcPr>
          <w:p w:rsidR="00850684" w:rsidRPr="00463E61" w:rsidRDefault="00316AAA" w:rsidP="00316AAA">
            <w:pPr>
              <w:pStyle w:val="NoSpacing"/>
              <w:rPr>
                <w:sz w:val="20"/>
                <w:szCs w:val="20"/>
              </w:rPr>
            </w:pPr>
            <w:r w:rsidRPr="00463E61">
              <w:rPr>
                <w:sz w:val="20"/>
                <w:szCs w:val="20"/>
              </w:rPr>
              <w:t xml:space="preserve">Compensation is based on legislation </w:t>
            </w:r>
            <w:r w:rsidR="00EC22AB" w:rsidRPr="00463E61">
              <w:rPr>
                <w:sz w:val="20"/>
                <w:szCs w:val="20"/>
              </w:rPr>
              <w:t xml:space="preserve">referred to as the “Long Bill.”  The concept of “Pay for Performance” is legislatively mandated.  </w:t>
            </w:r>
            <w:r w:rsidR="002316A2" w:rsidRPr="00463E61">
              <w:rPr>
                <w:sz w:val="20"/>
                <w:szCs w:val="20"/>
              </w:rPr>
              <w:t>SPB Rules and Administrative Procedures govern pay adjustments</w:t>
            </w:r>
            <w:r w:rsidR="00EC22AB" w:rsidRPr="00463E61">
              <w:rPr>
                <w:sz w:val="20"/>
                <w:szCs w:val="20"/>
              </w:rPr>
              <w:t>.</w:t>
            </w:r>
          </w:p>
        </w:tc>
        <w:tc>
          <w:tcPr>
            <w:tcW w:w="5626" w:type="dxa"/>
          </w:tcPr>
          <w:p w:rsidR="00850684" w:rsidRPr="00463E61" w:rsidRDefault="00CD18FF" w:rsidP="00CB6D5A">
            <w:pPr>
              <w:pStyle w:val="NoSpacing"/>
              <w:rPr>
                <w:sz w:val="20"/>
                <w:szCs w:val="20"/>
              </w:rPr>
            </w:pPr>
            <w:r>
              <w:rPr>
                <w:sz w:val="20"/>
                <w:szCs w:val="20"/>
              </w:rPr>
              <w:t>MSU</w:t>
            </w:r>
            <w:r w:rsidR="00CB6D5A">
              <w:rPr>
                <w:sz w:val="20"/>
                <w:szCs w:val="20"/>
              </w:rPr>
              <w:t xml:space="preserve"> </w:t>
            </w:r>
            <w:r>
              <w:rPr>
                <w:sz w:val="20"/>
                <w:szCs w:val="20"/>
              </w:rPr>
              <w:t>D</w:t>
            </w:r>
            <w:r w:rsidR="00CB6D5A">
              <w:rPr>
                <w:sz w:val="20"/>
                <w:szCs w:val="20"/>
              </w:rPr>
              <w:t>enver</w:t>
            </w:r>
            <w:r w:rsidR="002316A2" w:rsidRPr="00463E61">
              <w:rPr>
                <w:sz w:val="20"/>
                <w:szCs w:val="20"/>
              </w:rPr>
              <w:t xml:space="preserve"> Board of Trustees governs compensation for Faculty and Administrators, including salary increases and benefit contribution rates</w:t>
            </w:r>
            <w:r w:rsidR="00EC22AB" w:rsidRPr="00463E61">
              <w:rPr>
                <w:sz w:val="20"/>
                <w:szCs w:val="20"/>
              </w:rPr>
              <w:t>.</w:t>
            </w:r>
          </w:p>
        </w:tc>
      </w:tr>
      <w:tr w:rsidR="0069452B" w:rsidRPr="00463E61" w:rsidTr="00F17C30">
        <w:trPr>
          <w:trHeight w:val="2094"/>
        </w:trPr>
        <w:tc>
          <w:tcPr>
            <w:tcW w:w="2002" w:type="dxa"/>
          </w:tcPr>
          <w:p w:rsidR="0069452B" w:rsidRPr="00463E61" w:rsidRDefault="00EB249D" w:rsidP="00EB249D">
            <w:pPr>
              <w:pStyle w:val="NoSpacing"/>
              <w:rPr>
                <w:sz w:val="20"/>
                <w:szCs w:val="20"/>
              </w:rPr>
            </w:pPr>
            <w:r w:rsidRPr="00463E61">
              <w:rPr>
                <w:sz w:val="20"/>
                <w:szCs w:val="20"/>
              </w:rPr>
              <w:lastRenderedPageBreak/>
              <w:t>Employment</w:t>
            </w:r>
            <w:r w:rsidR="0069452B" w:rsidRPr="00463E61">
              <w:rPr>
                <w:sz w:val="20"/>
                <w:szCs w:val="20"/>
              </w:rPr>
              <w:t xml:space="preserve"> r</w:t>
            </w:r>
            <w:r w:rsidRPr="00463E61">
              <w:rPr>
                <w:sz w:val="20"/>
                <w:szCs w:val="20"/>
              </w:rPr>
              <w:t>elationship</w:t>
            </w:r>
          </w:p>
        </w:tc>
        <w:tc>
          <w:tcPr>
            <w:tcW w:w="5440" w:type="dxa"/>
          </w:tcPr>
          <w:p w:rsidR="0069452B" w:rsidRPr="00463E61" w:rsidRDefault="0069452B" w:rsidP="007B4448">
            <w:pPr>
              <w:pStyle w:val="NoSpacing"/>
              <w:rPr>
                <w:sz w:val="20"/>
                <w:szCs w:val="20"/>
              </w:rPr>
            </w:pPr>
            <w:r w:rsidRPr="00463E61">
              <w:rPr>
                <w:sz w:val="20"/>
                <w:szCs w:val="20"/>
              </w:rPr>
              <w:t xml:space="preserve">Certification is earned after 12 months of satisfactory performance. Certified employees have retention rights </w:t>
            </w:r>
            <w:r w:rsidR="00BD15E3" w:rsidRPr="00463E61">
              <w:rPr>
                <w:sz w:val="20"/>
                <w:szCs w:val="20"/>
              </w:rPr>
              <w:t xml:space="preserve">defined by SPB Rules </w:t>
            </w:r>
            <w:r w:rsidR="007B4448">
              <w:rPr>
                <w:sz w:val="20"/>
                <w:szCs w:val="20"/>
              </w:rPr>
              <w:t>in the event of layoff.  Additionally, due process must be followed prior to issuance of any disciplinary action pur</w:t>
            </w:r>
            <w:r w:rsidR="00347646" w:rsidRPr="00463E61">
              <w:rPr>
                <w:sz w:val="20"/>
                <w:szCs w:val="20"/>
              </w:rPr>
              <w:t xml:space="preserve">suant to </w:t>
            </w:r>
            <w:r w:rsidR="007B4448">
              <w:rPr>
                <w:sz w:val="20"/>
                <w:szCs w:val="20"/>
              </w:rPr>
              <w:t>SPB Rules.</w:t>
            </w:r>
          </w:p>
        </w:tc>
        <w:tc>
          <w:tcPr>
            <w:tcW w:w="5626" w:type="dxa"/>
          </w:tcPr>
          <w:p w:rsidR="0069452B" w:rsidRPr="00463E61" w:rsidRDefault="007B4448" w:rsidP="007B4448">
            <w:pPr>
              <w:pStyle w:val="NoSpacing"/>
              <w:rPr>
                <w:sz w:val="20"/>
                <w:szCs w:val="20"/>
              </w:rPr>
            </w:pPr>
            <w:r>
              <w:rPr>
                <w:sz w:val="20"/>
                <w:szCs w:val="20"/>
              </w:rPr>
              <w:t>Administrative</w:t>
            </w:r>
            <w:r w:rsidR="00A16DC3" w:rsidRPr="00463E61">
              <w:rPr>
                <w:sz w:val="20"/>
                <w:szCs w:val="20"/>
              </w:rPr>
              <w:t xml:space="preserve"> employees are</w:t>
            </w:r>
            <w:r>
              <w:rPr>
                <w:sz w:val="20"/>
                <w:szCs w:val="20"/>
              </w:rPr>
              <w:t xml:space="preserve"> considered</w:t>
            </w:r>
            <w:r w:rsidR="00A16DC3" w:rsidRPr="00463E61">
              <w:rPr>
                <w:sz w:val="20"/>
                <w:szCs w:val="20"/>
              </w:rPr>
              <w:t xml:space="preserve"> “at will</w:t>
            </w:r>
            <w:r w:rsidR="00347646" w:rsidRPr="00463E61">
              <w:rPr>
                <w:sz w:val="20"/>
                <w:szCs w:val="20"/>
              </w:rPr>
              <w:t>;</w:t>
            </w:r>
            <w:r w:rsidR="00A16DC3" w:rsidRPr="00463E61">
              <w:rPr>
                <w:sz w:val="20"/>
                <w:szCs w:val="20"/>
              </w:rPr>
              <w:t xml:space="preserve">” </w:t>
            </w:r>
            <w:r w:rsidR="002316A2">
              <w:rPr>
                <w:sz w:val="20"/>
                <w:szCs w:val="20"/>
              </w:rPr>
              <w:t>either party may terminate Employment at any time</w:t>
            </w:r>
            <w:r w:rsidR="00A16DC3" w:rsidRPr="00463E61">
              <w:rPr>
                <w:sz w:val="20"/>
                <w:szCs w:val="20"/>
              </w:rPr>
              <w:t>.  A</w:t>
            </w:r>
            <w:r>
              <w:rPr>
                <w:sz w:val="20"/>
                <w:szCs w:val="20"/>
              </w:rPr>
              <w:t>dministrative</w:t>
            </w:r>
            <w:r w:rsidR="00A16DC3" w:rsidRPr="00463E61">
              <w:rPr>
                <w:sz w:val="20"/>
                <w:szCs w:val="20"/>
              </w:rPr>
              <w:t xml:space="preserve"> employees </w:t>
            </w:r>
            <w:r>
              <w:rPr>
                <w:sz w:val="20"/>
                <w:szCs w:val="20"/>
              </w:rPr>
              <w:t xml:space="preserve">are not subject to layoff; however each function is reviewed in regard to the </w:t>
            </w:r>
            <w:r w:rsidR="00CD18FF">
              <w:rPr>
                <w:sz w:val="20"/>
                <w:szCs w:val="20"/>
              </w:rPr>
              <w:t>University</w:t>
            </w:r>
            <w:r>
              <w:rPr>
                <w:sz w:val="20"/>
                <w:szCs w:val="20"/>
              </w:rPr>
              <w:t>’s Financial Exigency Plan</w:t>
            </w:r>
            <w:r w:rsidR="00347646" w:rsidRPr="00463E61">
              <w:rPr>
                <w:sz w:val="20"/>
                <w:szCs w:val="20"/>
              </w:rPr>
              <w:t xml:space="preserve">.  Personnel actions </w:t>
            </w:r>
            <w:r>
              <w:rPr>
                <w:sz w:val="20"/>
                <w:szCs w:val="20"/>
              </w:rPr>
              <w:t xml:space="preserve">are </w:t>
            </w:r>
            <w:r w:rsidR="00347646" w:rsidRPr="00463E61">
              <w:rPr>
                <w:sz w:val="20"/>
                <w:szCs w:val="20"/>
              </w:rPr>
              <w:t xml:space="preserve">subject to state &amp; federal employment laws and </w:t>
            </w:r>
            <w:r w:rsidR="00CD18FF">
              <w:rPr>
                <w:sz w:val="20"/>
                <w:szCs w:val="20"/>
              </w:rPr>
              <w:t>MSU</w:t>
            </w:r>
            <w:r w:rsidR="00CB6D5A">
              <w:rPr>
                <w:sz w:val="20"/>
                <w:szCs w:val="20"/>
              </w:rPr>
              <w:t xml:space="preserve"> </w:t>
            </w:r>
            <w:r w:rsidR="00CD18FF">
              <w:rPr>
                <w:sz w:val="20"/>
                <w:szCs w:val="20"/>
              </w:rPr>
              <w:t>D</w:t>
            </w:r>
            <w:r w:rsidR="00CB6D5A">
              <w:rPr>
                <w:sz w:val="20"/>
                <w:szCs w:val="20"/>
              </w:rPr>
              <w:t>enver</w:t>
            </w:r>
            <w:r w:rsidR="00347646" w:rsidRPr="00463E61">
              <w:rPr>
                <w:sz w:val="20"/>
                <w:szCs w:val="20"/>
              </w:rPr>
              <w:t xml:space="preserve"> policies.</w:t>
            </w:r>
          </w:p>
        </w:tc>
      </w:tr>
      <w:tr w:rsidR="00BD15E3" w:rsidRPr="00463E61" w:rsidTr="007B4448">
        <w:trPr>
          <w:trHeight w:val="2384"/>
        </w:trPr>
        <w:tc>
          <w:tcPr>
            <w:tcW w:w="2002" w:type="dxa"/>
          </w:tcPr>
          <w:p w:rsidR="00BD15E3" w:rsidRPr="00463E61" w:rsidRDefault="00BD15E3" w:rsidP="009F19C2">
            <w:pPr>
              <w:pStyle w:val="NoSpacing"/>
              <w:rPr>
                <w:sz w:val="20"/>
                <w:szCs w:val="20"/>
              </w:rPr>
            </w:pPr>
            <w:r w:rsidRPr="00463E61">
              <w:rPr>
                <w:sz w:val="20"/>
                <w:szCs w:val="20"/>
              </w:rPr>
              <w:t>Reinstatement</w:t>
            </w:r>
            <w:r w:rsidR="00EB249D" w:rsidRPr="00463E61">
              <w:rPr>
                <w:sz w:val="20"/>
                <w:szCs w:val="20"/>
              </w:rPr>
              <w:t>/ Transfer</w:t>
            </w:r>
          </w:p>
          <w:p w:rsidR="00BD15E3" w:rsidRPr="00463E61" w:rsidRDefault="00BD15E3" w:rsidP="00EB249D">
            <w:pPr>
              <w:pStyle w:val="NoSpacing"/>
              <w:rPr>
                <w:sz w:val="20"/>
                <w:szCs w:val="20"/>
              </w:rPr>
            </w:pPr>
          </w:p>
        </w:tc>
        <w:tc>
          <w:tcPr>
            <w:tcW w:w="5440" w:type="dxa"/>
          </w:tcPr>
          <w:p w:rsidR="00BD15E3" w:rsidRPr="00463E61" w:rsidRDefault="00BD15E3" w:rsidP="007B4448">
            <w:pPr>
              <w:pStyle w:val="NoSpacing"/>
              <w:rPr>
                <w:sz w:val="20"/>
                <w:szCs w:val="20"/>
              </w:rPr>
            </w:pPr>
            <w:r w:rsidRPr="00463E61">
              <w:rPr>
                <w:sz w:val="20"/>
                <w:szCs w:val="20"/>
              </w:rPr>
              <w:t xml:space="preserve">Classified employees may, at the discretion of the appointment authority, reinstate (without exam) to a job in which s/he was formerly certified and either resigned or voluntarily demoted in good standing. </w:t>
            </w:r>
          </w:p>
          <w:p w:rsidR="00171410" w:rsidRPr="00463E61" w:rsidRDefault="00171410" w:rsidP="00171410">
            <w:pPr>
              <w:pStyle w:val="NoSpacing"/>
              <w:rPr>
                <w:sz w:val="20"/>
                <w:szCs w:val="20"/>
              </w:rPr>
            </w:pPr>
            <w:r w:rsidRPr="00463E61">
              <w:rPr>
                <w:sz w:val="20"/>
                <w:szCs w:val="20"/>
              </w:rPr>
              <w:t xml:space="preserve">If selected by the appointing authority, a classified employee may transfer to another classified position at the same class or same grade maximum for which s/he qualifies.  </w:t>
            </w:r>
          </w:p>
        </w:tc>
        <w:tc>
          <w:tcPr>
            <w:tcW w:w="5626" w:type="dxa"/>
          </w:tcPr>
          <w:p w:rsidR="00171410" w:rsidRPr="00463E61" w:rsidRDefault="00171410" w:rsidP="007B4448">
            <w:pPr>
              <w:pStyle w:val="NoSpacing"/>
              <w:rPr>
                <w:sz w:val="20"/>
                <w:szCs w:val="20"/>
              </w:rPr>
            </w:pPr>
            <w:r w:rsidRPr="00463E61">
              <w:rPr>
                <w:sz w:val="20"/>
                <w:szCs w:val="20"/>
              </w:rPr>
              <w:t>Former A</w:t>
            </w:r>
            <w:r w:rsidR="007B4448">
              <w:rPr>
                <w:sz w:val="20"/>
                <w:szCs w:val="20"/>
              </w:rPr>
              <w:t>dministrative</w:t>
            </w:r>
            <w:r w:rsidRPr="00463E61">
              <w:rPr>
                <w:sz w:val="20"/>
                <w:szCs w:val="20"/>
              </w:rPr>
              <w:t xml:space="preserve"> employees who left in good standing may be rein</w:t>
            </w:r>
            <w:r w:rsidR="007B4448">
              <w:rPr>
                <w:sz w:val="20"/>
                <w:szCs w:val="20"/>
              </w:rPr>
              <w:t xml:space="preserve">stated via a search waiver.  Administrators are eligible to apply for any and all announced positions at the </w:t>
            </w:r>
            <w:r w:rsidR="00CD18FF">
              <w:rPr>
                <w:sz w:val="20"/>
                <w:szCs w:val="20"/>
              </w:rPr>
              <w:t>University</w:t>
            </w:r>
            <w:r w:rsidR="007B4448">
              <w:rPr>
                <w:sz w:val="20"/>
                <w:szCs w:val="20"/>
              </w:rPr>
              <w:t>.  Reassignments are handled through the Vice President’s Office with the President’s approval.  Employees must meet the minimum qualifications for the position.</w:t>
            </w:r>
          </w:p>
        </w:tc>
      </w:tr>
      <w:tr w:rsidR="007B4448" w:rsidRPr="00463E61" w:rsidTr="007B4448">
        <w:trPr>
          <w:trHeight w:val="2384"/>
        </w:trPr>
        <w:tc>
          <w:tcPr>
            <w:tcW w:w="2002" w:type="dxa"/>
            <w:tcBorders>
              <w:top w:val="single" w:sz="4" w:space="0" w:color="auto"/>
              <w:left w:val="single" w:sz="4" w:space="0" w:color="auto"/>
              <w:bottom w:val="single" w:sz="4" w:space="0" w:color="auto"/>
              <w:right w:val="single" w:sz="4" w:space="0" w:color="auto"/>
            </w:tcBorders>
          </w:tcPr>
          <w:p w:rsidR="007B4448" w:rsidRPr="00463E61" w:rsidRDefault="007B4448" w:rsidP="007B4448">
            <w:pPr>
              <w:pStyle w:val="NoSpacing"/>
              <w:rPr>
                <w:sz w:val="20"/>
                <w:szCs w:val="20"/>
              </w:rPr>
            </w:pPr>
            <w:r w:rsidRPr="00463E61">
              <w:rPr>
                <w:sz w:val="20"/>
                <w:szCs w:val="20"/>
              </w:rPr>
              <w:t>Performance Management</w:t>
            </w:r>
          </w:p>
        </w:tc>
        <w:tc>
          <w:tcPr>
            <w:tcW w:w="5440" w:type="dxa"/>
            <w:tcBorders>
              <w:top w:val="single" w:sz="4" w:space="0" w:color="auto"/>
              <w:left w:val="single" w:sz="4" w:space="0" w:color="auto"/>
              <w:bottom w:val="single" w:sz="4" w:space="0" w:color="auto"/>
              <w:right w:val="single" w:sz="4" w:space="0" w:color="auto"/>
            </w:tcBorders>
          </w:tcPr>
          <w:p w:rsidR="007B4448" w:rsidRPr="00463E61" w:rsidRDefault="007B4448" w:rsidP="007B4448">
            <w:pPr>
              <w:pStyle w:val="NoSpacing"/>
              <w:rPr>
                <w:sz w:val="20"/>
                <w:szCs w:val="20"/>
              </w:rPr>
            </w:pPr>
            <w:r w:rsidRPr="00463E61">
              <w:rPr>
                <w:sz w:val="20"/>
                <w:szCs w:val="20"/>
              </w:rPr>
              <w:t>All permanent classifi</w:t>
            </w:r>
            <w:r>
              <w:rPr>
                <w:sz w:val="20"/>
                <w:szCs w:val="20"/>
              </w:rPr>
              <w:t xml:space="preserve">ed employees must have a </w:t>
            </w:r>
            <w:r w:rsidRPr="00463E61">
              <w:rPr>
                <w:sz w:val="20"/>
                <w:szCs w:val="20"/>
              </w:rPr>
              <w:t>performance plan</w:t>
            </w:r>
            <w:r>
              <w:rPr>
                <w:sz w:val="20"/>
                <w:szCs w:val="20"/>
              </w:rPr>
              <w:t xml:space="preserve"> established each year</w:t>
            </w:r>
            <w:r w:rsidRPr="00463E61">
              <w:rPr>
                <w:sz w:val="20"/>
                <w:szCs w:val="20"/>
              </w:rPr>
              <w:t>, at least one coaching session</w:t>
            </w:r>
            <w:r>
              <w:rPr>
                <w:sz w:val="20"/>
                <w:szCs w:val="20"/>
              </w:rPr>
              <w:t xml:space="preserve"> held</w:t>
            </w:r>
            <w:r w:rsidRPr="00463E61">
              <w:rPr>
                <w:sz w:val="20"/>
                <w:szCs w:val="20"/>
              </w:rPr>
              <w:t xml:space="preserve">, and an </w:t>
            </w:r>
            <w:r>
              <w:rPr>
                <w:sz w:val="20"/>
                <w:szCs w:val="20"/>
              </w:rPr>
              <w:t xml:space="preserve">annual performance </w:t>
            </w:r>
            <w:r w:rsidRPr="00463E61">
              <w:rPr>
                <w:sz w:val="20"/>
                <w:szCs w:val="20"/>
              </w:rPr>
              <w:t>evaluation rating.  There are only three rating levels: Needs Improvement, Successful, and Outstanding. The performance cycle runs from April 1 through March 31 of each year.</w:t>
            </w:r>
          </w:p>
          <w:p w:rsidR="007B4448" w:rsidRPr="00463E61" w:rsidRDefault="007B4448" w:rsidP="007B4448">
            <w:pPr>
              <w:pStyle w:val="NoSpacing"/>
              <w:rPr>
                <w:sz w:val="20"/>
                <w:szCs w:val="20"/>
              </w:rPr>
            </w:pPr>
          </w:p>
        </w:tc>
        <w:tc>
          <w:tcPr>
            <w:tcW w:w="5626" w:type="dxa"/>
            <w:tcBorders>
              <w:top w:val="single" w:sz="4" w:space="0" w:color="auto"/>
              <w:left w:val="single" w:sz="4" w:space="0" w:color="auto"/>
              <w:bottom w:val="single" w:sz="4" w:space="0" w:color="auto"/>
              <w:right w:val="single" w:sz="4" w:space="0" w:color="auto"/>
            </w:tcBorders>
          </w:tcPr>
          <w:p w:rsidR="007B4448" w:rsidRPr="00463E61" w:rsidRDefault="006A4DEC" w:rsidP="006A4DEC">
            <w:pPr>
              <w:pStyle w:val="NoSpacing"/>
              <w:rPr>
                <w:sz w:val="20"/>
                <w:szCs w:val="20"/>
              </w:rPr>
            </w:pPr>
            <w:r>
              <w:rPr>
                <w:sz w:val="20"/>
                <w:szCs w:val="20"/>
              </w:rPr>
              <w:t xml:space="preserve">Administrative </w:t>
            </w:r>
            <w:r w:rsidR="007B4448" w:rsidRPr="00463E61">
              <w:rPr>
                <w:sz w:val="20"/>
                <w:szCs w:val="20"/>
              </w:rPr>
              <w:t xml:space="preserve">employees must </w:t>
            </w:r>
            <w:r>
              <w:rPr>
                <w:sz w:val="20"/>
                <w:szCs w:val="20"/>
              </w:rPr>
              <w:t xml:space="preserve">be evaluated each year.  A 360 Feedback </w:t>
            </w:r>
            <w:r w:rsidR="00C50F45">
              <w:rPr>
                <w:sz w:val="20"/>
                <w:szCs w:val="20"/>
              </w:rPr>
              <w:t>process and self-evaluation are included in this evaluation process.</w:t>
            </w:r>
            <w:r w:rsidRPr="00463E61">
              <w:rPr>
                <w:sz w:val="20"/>
                <w:szCs w:val="20"/>
              </w:rPr>
              <w:t xml:space="preserve"> </w:t>
            </w:r>
          </w:p>
        </w:tc>
      </w:tr>
    </w:tbl>
    <w:p w:rsidR="00F45509" w:rsidRDefault="00F45509" w:rsidP="002C0742">
      <w:pPr>
        <w:rPr>
          <w:b/>
          <w:sz w:val="20"/>
          <w:szCs w:val="20"/>
        </w:rPr>
      </w:pPr>
    </w:p>
    <w:p w:rsidR="00C50F45" w:rsidRDefault="00C50F45" w:rsidP="002C0742">
      <w:pPr>
        <w:rPr>
          <w:b/>
          <w:sz w:val="20"/>
          <w:szCs w:val="20"/>
        </w:rPr>
      </w:pPr>
    </w:p>
    <w:p w:rsidR="007B4448" w:rsidRPr="00463E61" w:rsidRDefault="007B4448" w:rsidP="002C0742">
      <w:pPr>
        <w:rPr>
          <w:b/>
          <w:sz w:val="20"/>
          <w:szCs w:val="20"/>
        </w:rPr>
      </w:pPr>
    </w:p>
    <w:tbl>
      <w:tblPr>
        <w:tblW w:w="13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5099"/>
        <w:gridCol w:w="5347"/>
      </w:tblGrid>
      <w:tr w:rsidR="002478D6" w:rsidRPr="00463E61" w:rsidTr="002316A2">
        <w:trPr>
          <w:trHeight w:val="656"/>
        </w:trPr>
        <w:tc>
          <w:tcPr>
            <w:tcW w:w="2714" w:type="dxa"/>
          </w:tcPr>
          <w:p w:rsidR="002478D6" w:rsidRPr="00463E61" w:rsidRDefault="002478D6" w:rsidP="00171410">
            <w:pPr>
              <w:ind w:left="-13"/>
              <w:rPr>
                <w:sz w:val="20"/>
                <w:szCs w:val="20"/>
              </w:rPr>
            </w:pPr>
            <w:r w:rsidRPr="00463E61">
              <w:rPr>
                <w:sz w:val="20"/>
                <w:szCs w:val="20"/>
              </w:rPr>
              <w:lastRenderedPageBreak/>
              <w:t>Health-Care Benefits</w:t>
            </w:r>
          </w:p>
        </w:tc>
        <w:tc>
          <w:tcPr>
            <w:tcW w:w="5099" w:type="dxa"/>
          </w:tcPr>
          <w:p w:rsidR="002478D6" w:rsidRPr="00463E61" w:rsidRDefault="00D63905" w:rsidP="00D63905">
            <w:pPr>
              <w:ind w:left="-13"/>
              <w:rPr>
                <w:sz w:val="20"/>
                <w:szCs w:val="20"/>
              </w:rPr>
            </w:pPr>
            <w:r w:rsidRPr="00463E61">
              <w:rPr>
                <w:sz w:val="20"/>
                <w:szCs w:val="20"/>
              </w:rPr>
              <w:t xml:space="preserve">Please see the 2012 Benefit Plan </w:t>
            </w:r>
            <w:r w:rsidR="002316A2" w:rsidRPr="00463E61">
              <w:rPr>
                <w:sz w:val="20"/>
                <w:szCs w:val="20"/>
              </w:rPr>
              <w:t xml:space="preserve">Comparison </w:t>
            </w:r>
          </w:p>
        </w:tc>
        <w:tc>
          <w:tcPr>
            <w:tcW w:w="5347" w:type="dxa"/>
          </w:tcPr>
          <w:p w:rsidR="002478D6" w:rsidRPr="00463E61" w:rsidRDefault="00D63905" w:rsidP="00171410">
            <w:pPr>
              <w:ind w:left="-13"/>
              <w:rPr>
                <w:sz w:val="20"/>
                <w:szCs w:val="20"/>
              </w:rPr>
            </w:pPr>
            <w:r w:rsidRPr="00463E61">
              <w:rPr>
                <w:sz w:val="20"/>
                <w:szCs w:val="20"/>
              </w:rPr>
              <w:t>Please see the 2012 Benefit Plan Comparison</w:t>
            </w:r>
          </w:p>
        </w:tc>
      </w:tr>
      <w:tr w:rsidR="00C9031F" w:rsidRPr="00463E61" w:rsidTr="002316A2">
        <w:trPr>
          <w:trHeight w:val="787"/>
        </w:trPr>
        <w:tc>
          <w:tcPr>
            <w:tcW w:w="2714" w:type="dxa"/>
          </w:tcPr>
          <w:p w:rsidR="00C9031F" w:rsidRPr="00463E61" w:rsidRDefault="00C9031F" w:rsidP="00171410">
            <w:pPr>
              <w:ind w:left="-13"/>
              <w:rPr>
                <w:sz w:val="20"/>
                <w:szCs w:val="20"/>
              </w:rPr>
            </w:pPr>
            <w:r w:rsidRPr="00463E61">
              <w:rPr>
                <w:sz w:val="20"/>
                <w:szCs w:val="20"/>
              </w:rPr>
              <w:t>Life Insurance Benefits</w:t>
            </w:r>
          </w:p>
        </w:tc>
        <w:tc>
          <w:tcPr>
            <w:tcW w:w="5099" w:type="dxa"/>
          </w:tcPr>
          <w:p w:rsidR="00C9031F" w:rsidRPr="00463E61" w:rsidRDefault="00D63905" w:rsidP="0094547A">
            <w:pPr>
              <w:ind w:left="-13"/>
              <w:rPr>
                <w:sz w:val="20"/>
                <w:szCs w:val="20"/>
              </w:rPr>
            </w:pPr>
            <w:r w:rsidRPr="00463E61">
              <w:rPr>
                <w:sz w:val="20"/>
                <w:szCs w:val="20"/>
              </w:rPr>
              <w:t>Please see the 2012 Benefit Plan Comparison</w:t>
            </w:r>
          </w:p>
        </w:tc>
        <w:tc>
          <w:tcPr>
            <w:tcW w:w="5347" w:type="dxa"/>
          </w:tcPr>
          <w:p w:rsidR="00C9031F" w:rsidRPr="00463E61" w:rsidRDefault="00D63905" w:rsidP="00171410">
            <w:pPr>
              <w:ind w:left="-13"/>
              <w:rPr>
                <w:sz w:val="20"/>
                <w:szCs w:val="20"/>
              </w:rPr>
            </w:pPr>
            <w:r w:rsidRPr="00463E61">
              <w:rPr>
                <w:sz w:val="20"/>
                <w:szCs w:val="20"/>
              </w:rPr>
              <w:t>Please see the 2012 Benefit Plan Comparison</w:t>
            </w:r>
          </w:p>
        </w:tc>
      </w:tr>
      <w:tr w:rsidR="00EF15BD" w:rsidRPr="00463E61" w:rsidTr="002316A2">
        <w:trPr>
          <w:trHeight w:val="80"/>
        </w:trPr>
        <w:tc>
          <w:tcPr>
            <w:tcW w:w="2714" w:type="dxa"/>
          </w:tcPr>
          <w:p w:rsidR="00EF15BD" w:rsidRPr="00463E61" w:rsidRDefault="00EF15BD" w:rsidP="0093314A">
            <w:pPr>
              <w:ind w:left="-13"/>
              <w:rPr>
                <w:sz w:val="20"/>
                <w:szCs w:val="20"/>
              </w:rPr>
            </w:pPr>
            <w:r w:rsidRPr="00463E61">
              <w:rPr>
                <w:sz w:val="20"/>
                <w:szCs w:val="20"/>
              </w:rPr>
              <w:t>Disability Insurance</w:t>
            </w:r>
          </w:p>
          <w:p w:rsidR="00EF15BD" w:rsidRPr="00463E61" w:rsidRDefault="00EF15BD" w:rsidP="0093314A">
            <w:pPr>
              <w:ind w:left="-13"/>
              <w:rPr>
                <w:sz w:val="20"/>
                <w:szCs w:val="20"/>
              </w:rPr>
            </w:pPr>
          </w:p>
        </w:tc>
        <w:tc>
          <w:tcPr>
            <w:tcW w:w="5099" w:type="dxa"/>
          </w:tcPr>
          <w:p w:rsidR="00EF15BD" w:rsidRPr="00463E61" w:rsidRDefault="00EF15BD" w:rsidP="0093314A">
            <w:pPr>
              <w:ind w:left="-13"/>
              <w:rPr>
                <w:sz w:val="20"/>
                <w:szCs w:val="20"/>
              </w:rPr>
            </w:pPr>
            <w:r w:rsidRPr="00463E61">
              <w:rPr>
                <w:sz w:val="20"/>
                <w:szCs w:val="20"/>
              </w:rPr>
              <w:t>Please see the 2012 Benefit Plan Comparison</w:t>
            </w:r>
          </w:p>
          <w:p w:rsidR="00EF15BD" w:rsidRPr="00463E61" w:rsidRDefault="00EF15BD" w:rsidP="0093314A">
            <w:pPr>
              <w:ind w:left="-13"/>
              <w:rPr>
                <w:sz w:val="20"/>
                <w:szCs w:val="20"/>
              </w:rPr>
            </w:pPr>
          </w:p>
        </w:tc>
        <w:tc>
          <w:tcPr>
            <w:tcW w:w="5347" w:type="dxa"/>
          </w:tcPr>
          <w:p w:rsidR="00EF15BD" w:rsidRPr="00463E61" w:rsidRDefault="00EF15BD" w:rsidP="0093314A">
            <w:pPr>
              <w:ind w:left="-13"/>
              <w:rPr>
                <w:sz w:val="20"/>
                <w:szCs w:val="20"/>
              </w:rPr>
            </w:pPr>
            <w:r w:rsidRPr="00463E61">
              <w:rPr>
                <w:sz w:val="20"/>
                <w:szCs w:val="20"/>
              </w:rPr>
              <w:t>Please see the 2012 Benefit Plan Comparison</w:t>
            </w:r>
          </w:p>
          <w:p w:rsidR="00EF15BD" w:rsidRPr="00463E61" w:rsidRDefault="00EF15BD" w:rsidP="0093314A">
            <w:pPr>
              <w:ind w:left="-13"/>
              <w:rPr>
                <w:sz w:val="20"/>
                <w:szCs w:val="20"/>
              </w:rPr>
            </w:pPr>
          </w:p>
        </w:tc>
      </w:tr>
      <w:tr w:rsidR="00EF15BD" w:rsidRPr="00463E61" w:rsidTr="002316A2">
        <w:trPr>
          <w:trHeight w:val="63"/>
        </w:trPr>
        <w:tc>
          <w:tcPr>
            <w:tcW w:w="2714" w:type="dxa"/>
          </w:tcPr>
          <w:p w:rsidR="00EF15BD" w:rsidRPr="00463E61" w:rsidRDefault="00C50F45" w:rsidP="00171410">
            <w:pPr>
              <w:ind w:left="-13"/>
              <w:rPr>
                <w:sz w:val="20"/>
                <w:szCs w:val="20"/>
              </w:rPr>
            </w:pPr>
            <w:r>
              <w:rPr>
                <w:sz w:val="20"/>
                <w:szCs w:val="20"/>
              </w:rPr>
              <w:t>Vision (VSP)</w:t>
            </w:r>
          </w:p>
        </w:tc>
        <w:tc>
          <w:tcPr>
            <w:tcW w:w="5099" w:type="dxa"/>
          </w:tcPr>
          <w:p w:rsidR="00EF15BD" w:rsidRPr="00463E61" w:rsidRDefault="00C50F45" w:rsidP="00171410">
            <w:pPr>
              <w:ind w:left="-13"/>
              <w:rPr>
                <w:sz w:val="20"/>
                <w:szCs w:val="20"/>
              </w:rPr>
            </w:pPr>
            <w:r>
              <w:rPr>
                <w:sz w:val="20"/>
                <w:szCs w:val="20"/>
              </w:rPr>
              <w:t>Not available</w:t>
            </w:r>
          </w:p>
        </w:tc>
        <w:tc>
          <w:tcPr>
            <w:tcW w:w="5347" w:type="dxa"/>
          </w:tcPr>
          <w:p w:rsidR="00EF15BD" w:rsidRPr="00463E61" w:rsidRDefault="00C50F45" w:rsidP="00171410">
            <w:pPr>
              <w:ind w:left="-13"/>
              <w:rPr>
                <w:sz w:val="20"/>
                <w:szCs w:val="20"/>
              </w:rPr>
            </w:pPr>
            <w:r>
              <w:rPr>
                <w:sz w:val="20"/>
                <w:szCs w:val="20"/>
              </w:rPr>
              <w:t>Available as an optional benefit paid by employee</w:t>
            </w:r>
          </w:p>
        </w:tc>
      </w:tr>
      <w:tr w:rsidR="00EF15BD" w:rsidRPr="00463E61" w:rsidTr="002316A2">
        <w:trPr>
          <w:trHeight w:val="3294"/>
        </w:trPr>
        <w:tc>
          <w:tcPr>
            <w:tcW w:w="2714" w:type="dxa"/>
          </w:tcPr>
          <w:p w:rsidR="00EF15BD" w:rsidRPr="00463E61" w:rsidRDefault="00EF15BD" w:rsidP="00171410">
            <w:pPr>
              <w:ind w:left="-13"/>
              <w:rPr>
                <w:sz w:val="20"/>
                <w:szCs w:val="20"/>
              </w:rPr>
            </w:pPr>
            <w:r w:rsidRPr="00463E61">
              <w:rPr>
                <w:sz w:val="20"/>
                <w:szCs w:val="20"/>
              </w:rPr>
              <w:t>Leave Accrual and Use</w:t>
            </w:r>
          </w:p>
          <w:p w:rsidR="00EF15BD" w:rsidRPr="00463E61" w:rsidRDefault="00C62581" w:rsidP="00171410">
            <w:pPr>
              <w:ind w:left="-13"/>
              <w:rPr>
                <w:sz w:val="20"/>
                <w:szCs w:val="20"/>
              </w:rPr>
            </w:pPr>
            <w:r w:rsidRPr="00463E61">
              <w:rPr>
                <w:sz w:val="20"/>
                <w:szCs w:val="20"/>
              </w:rPr>
              <w:t>Temporary employees Do Not accrue leave</w:t>
            </w:r>
          </w:p>
          <w:p w:rsidR="00EF15BD" w:rsidRPr="00463E61" w:rsidRDefault="00EF15BD" w:rsidP="00171410">
            <w:pPr>
              <w:ind w:left="-13"/>
              <w:rPr>
                <w:sz w:val="20"/>
                <w:szCs w:val="20"/>
              </w:rPr>
            </w:pPr>
          </w:p>
          <w:p w:rsidR="00EF15BD" w:rsidRPr="00463E61" w:rsidRDefault="00EF15BD" w:rsidP="00171410">
            <w:pPr>
              <w:ind w:left="-13"/>
              <w:rPr>
                <w:sz w:val="20"/>
                <w:szCs w:val="20"/>
              </w:rPr>
            </w:pPr>
          </w:p>
          <w:p w:rsidR="00EF15BD" w:rsidRPr="00463E61" w:rsidRDefault="00EF15BD" w:rsidP="00171410">
            <w:pPr>
              <w:ind w:left="-13"/>
              <w:rPr>
                <w:sz w:val="20"/>
                <w:szCs w:val="20"/>
              </w:rPr>
            </w:pPr>
          </w:p>
        </w:tc>
        <w:tc>
          <w:tcPr>
            <w:tcW w:w="5099" w:type="dxa"/>
          </w:tcPr>
          <w:p w:rsidR="00EF15BD" w:rsidRPr="00463E61" w:rsidRDefault="00EF15BD" w:rsidP="00171410">
            <w:pPr>
              <w:ind w:left="-13"/>
              <w:rPr>
                <w:sz w:val="20"/>
                <w:szCs w:val="20"/>
              </w:rPr>
            </w:pPr>
            <w:r w:rsidRPr="00463E61">
              <w:rPr>
                <w:sz w:val="20"/>
                <w:szCs w:val="20"/>
              </w:rPr>
              <w:t>Permanent classified employees earn annual leave based on total whole months of state service in or out of the state personnel system excluding temporary appointments.</w:t>
            </w:r>
          </w:p>
          <w:tbl>
            <w:tblPr>
              <w:tblStyle w:val="TableGrid"/>
              <w:tblW w:w="0" w:type="auto"/>
              <w:tblLook w:val="04A0" w:firstRow="1" w:lastRow="0" w:firstColumn="1" w:lastColumn="0" w:noHBand="0" w:noVBand="1"/>
            </w:tblPr>
            <w:tblGrid>
              <w:gridCol w:w="1609"/>
              <w:gridCol w:w="1617"/>
              <w:gridCol w:w="1647"/>
            </w:tblGrid>
            <w:tr w:rsidR="00EF15BD" w:rsidRPr="00463E61" w:rsidTr="00DD6A0C">
              <w:tc>
                <w:tcPr>
                  <w:tcW w:w="1743" w:type="dxa"/>
                </w:tcPr>
                <w:p w:rsidR="00EF15BD" w:rsidRPr="00463E61" w:rsidRDefault="00EF15BD" w:rsidP="00171410">
                  <w:pPr>
                    <w:rPr>
                      <w:b/>
                      <w:sz w:val="20"/>
                      <w:szCs w:val="20"/>
                    </w:rPr>
                  </w:pPr>
                  <w:r w:rsidRPr="00463E61">
                    <w:rPr>
                      <w:b/>
                      <w:sz w:val="20"/>
                      <w:szCs w:val="20"/>
                    </w:rPr>
                    <w:t>Service years</w:t>
                  </w:r>
                </w:p>
              </w:tc>
              <w:tc>
                <w:tcPr>
                  <w:tcW w:w="1743" w:type="dxa"/>
                </w:tcPr>
                <w:p w:rsidR="00EF15BD" w:rsidRPr="00463E61" w:rsidRDefault="00EF15BD" w:rsidP="00171410">
                  <w:pPr>
                    <w:rPr>
                      <w:b/>
                      <w:sz w:val="20"/>
                      <w:szCs w:val="20"/>
                    </w:rPr>
                  </w:pPr>
                  <w:r w:rsidRPr="00463E61">
                    <w:rPr>
                      <w:b/>
                      <w:sz w:val="20"/>
                      <w:szCs w:val="20"/>
                    </w:rPr>
                    <w:t>Accrues</w:t>
                  </w:r>
                </w:p>
              </w:tc>
              <w:tc>
                <w:tcPr>
                  <w:tcW w:w="1744" w:type="dxa"/>
                </w:tcPr>
                <w:p w:rsidR="00EF15BD" w:rsidRPr="00463E61" w:rsidRDefault="00EF15BD" w:rsidP="00171410">
                  <w:pPr>
                    <w:rPr>
                      <w:sz w:val="20"/>
                      <w:szCs w:val="20"/>
                    </w:rPr>
                  </w:pPr>
                  <w:r w:rsidRPr="00463E61">
                    <w:rPr>
                      <w:b/>
                      <w:sz w:val="20"/>
                      <w:szCs w:val="20"/>
                    </w:rPr>
                    <w:t>Maximum</w:t>
                  </w:r>
                </w:p>
              </w:tc>
            </w:tr>
            <w:tr w:rsidR="00EF15BD" w:rsidRPr="00463E61" w:rsidTr="00DD6A0C">
              <w:tc>
                <w:tcPr>
                  <w:tcW w:w="1743" w:type="dxa"/>
                </w:tcPr>
                <w:p w:rsidR="00EF15BD" w:rsidRPr="00463E61" w:rsidRDefault="00EF15BD" w:rsidP="00171410">
                  <w:pPr>
                    <w:rPr>
                      <w:sz w:val="20"/>
                      <w:szCs w:val="20"/>
                    </w:rPr>
                  </w:pPr>
                  <w:r w:rsidRPr="00463E61">
                    <w:rPr>
                      <w:sz w:val="20"/>
                      <w:szCs w:val="20"/>
                    </w:rPr>
                    <w:t>1 – 5</w:t>
                  </w:r>
                </w:p>
              </w:tc>
              <w:tc>
                <w:tcPr>
                  <w:tcW w:w="1743" w:type="dxa"/>
                </w:tcPr>
                <w:p w:rsidR="00EF15BD" w:rsidRPr="00463E61" w:rsidRDefault="00EF15BD" w:rsidP="00171410">
                  <w:pPr>
                    <w:rPr>
                      <w:sz w:val="20"/>
                      <w:szCs w:val="20"/>
                    </w:rPr>
                  </w:pPr>
                  <w:r w:rsidRPr="00463E61">
                    <w:rPr>
                      <w:sz w:val="20"/>
                      <w:szCs w:val="20"/>
                    </w:rPr>
                    <w:t>8 hrs. a mo.</w:t>
                  </w:r>
                </w:p>
              </w:tc>
              <w:tc>
                <w:tcPr>
                  <w:tcW w:w="1744" w:type="dxa"/>
                </w:tcPr>
                <w:p w:rsidR="00EF15BD" w:rsidRPr="00463E61" w:rsidRDefault="00EF15BD" w:rsidP="00171410">
                  <w:pPr>
                    <w:rPr>
                      <w:sz w:val="20"/>
                      <w:szCs w:val="20"/>
                    </w:rPr>
                  </w:pPr>
                  <w:r w:rsidRPr="00463E61">
                    <w:rPr>
                      <w:sz w:val="20"/>
                      <w:szCs w:val="20"/>
                    </w:rPr>
                    <w:t>192</w:t>
                  </w:r>
                </w:p>
              </w:tc>
            </w:tr>
            <w:tr w:rsidR="00EF15BD" w:rsidRPr="00463E61" w:rsidTr="00DD6A0C">
              <w:tc>
                <w:tcPr>
                  <w:tcW w:w="1743" w:type="dxa"/>
                </w:tcPr>
                <w:p w:rsidR="00EF15BD" w:rsidRPr="00463E61" w:rsidRDefault="00EF15BD" w:rsidP="00171410">
                  <w:pPr>
                    <w:rPr>
                      <w:sz w:val="20"/>
                      <w:szCs w:val="20"/>
                    </w:rPr>
                  </w:pPr>
                  <w:r w:rsidRPr="00463E61">
                    <w:rPr>
                      <w:sz w:val="20"/>
                      <w:szCs w:val="20"/>
                    </w:rPr>
                    <w:t>6-10</w:t>
                  </w:r>
                </w:p>
              </w:tc>
              <w:tc>
                <w:tcPr>
                  <w:tcW w:w="1743" w:type="dxa"/>
                </w:tcPr>
                <w:p w:rsidR="00EF15BD" w:rsidRPr="00463E61" w:rsidRDefault="00EF15BD" w:rsidP="00171410">
                  <w:pPr>
                    <w:rPr>
                      <w:sz w:val="20"/>
                      <w:szCs w:val="20"/>
                    </w:rPr>
                  </w:pPr>
                  <w:r w:rsidRPr="00463E61">
                    <w:rPr>
                      <w:sz w:val="20"/>
                      <w:szCs w:val="20"/>
                    </w:rPr>
                    <w:t>10 hrs. a mo.</w:t>
                  </w:r>
                </w:p>
              </w:tc>
              <w:tc>
                <w:tcPr>
                  <w:tcW w:w="1744" w:type="dxa"/>
                </w:tcPr>
                <w:p w:rsidR="00EF15BD" w:rsidRPr="00463E61" w:rsidRDefault="00EF15BD" w:rsidP="00171410">
                  <w:pPr>
                    <w:rPr>
                      <w:sz w:val="20"/>
                      <w:szCs w:val="20"/>
                    </w:rPr>
                  </w:pPr>
                  <w:r w:rsidRPr="00463E61">
                    <w:rPr>
                      <w:sz w:val="20"/>
                      <w:szCs w:val="20"/>
                    </w:rPr>
                    <w:t>240</w:t>
                  </w:r>
                </w:p>
              </w:tc>
            </w:tr>
            <w:tr w:rsidR="00EF15BD" w:rsidRPr="00463E61" w:rsidTr="00DD6A0C">
              <w:tc>
                <w:tcPr>
                  <w:tcW w:w="1743" w:type="dxa"/>
                </w:tcPr>
                <w:p w:rsidR="00EF15BD" w:rsidRPr="00463E61" w:rsidRDefault="00EF15BD" w:rsidP="00171410">
                  <w:pPr>
                    <w:rPr>
                      <w:sz w:val="20"/>
                      <w:szCs w:val="20"/>
                    </w:rPr>
                  </w:pPr>
                  <w:r w:rsidRPr="00463E61">
                    <w:rPr>
                      <w:sz w:val="20"/>
                      <w:szCs w:val="20"/>
                    </w:rPr>
                    <w:t>11-15</w:t>
                  </w:r>
                </w:p>
              </w:tc>
              <w:tc>
                <w:tcPr>
                  <w:tcW w:w="1743" w:type="dxa"/>
                </w:tcPr>
                <w:p w:rsidR="00EF15BD" w:rsidRPr="00463E61" w:rsidRDefault="00EF15BD" w:rsidP="00171410">
                  <w:pPr>
                    <w:rPr>
                      <w:sz w:val="20"/>
                      <w:szCs w:val="20"/>
                    </w:rPr>
                  </w:pPr>
                  <w:r w:rsidRPr="00463E61">
                    <w:rPr>
                      <w:sz w:val="20"/>
                      <w:szCs w:val="20"/>
                    </w:rPr>
                    <w:t>12 hrs. a mo.</w:t>
                  </w:r>
                </w:p>
              </w:tc>
              <w:tc>
                <w:tcPr>
                  <w:tcW w:w="1744" w:type="dxa"/>
                </w:tcPr>
                <w:p w:rsidR="00EF15BD" w:rsidRPr="00463E61" w:rsidRDefault="00EF15BD" w:rsidP="00171410">
                  <w:pPr>
                    <w:rPr>
                      <w:sz w:val="20"/>
                      <w:szCs w:val="20"/>
                    </w:rPr>
                  </w:pPr>
                  <w:r w:rsidRPr="00463E61">
                    <w:rPr>
                      <w:sz w:val="20"/>
                      <w:szCs w:val="20"/>
                    </w:rPr>
                    <w:t>288</w:t>
                  </w:r>
                </w:p>
              </w:tc>
            </w:tr>
            <w:tr w:rsidR="00EF15BD" w:rsidRPr="00463E61" w:rsidTr="00DD6A0C">
              <w:tc>
                <w:tcPr>
                  <w:tcW w:w="1743" w:type="dxa"/>
                </w:tcPr>
                <w:p w:rsidR="00EF15BD" w:rsidRPr="00463E61" w:rsidRDefault="00EF15BD" w:rsidP="00171410">
                  <w:pPr>
                    <w:rPr>
                      <w:sz w:val="20"/>
                      <w:szCs w:val="20"/>
                    </w:rPr>
                  </w:pPr>
                  <w:r w:rsidRPr="00463E61">
                    <w:rPr>
                      <w:sz w:val="20"/>
                      <w:szCs w:val="20"/>
                    </w:rPr>
                    <w:t>16 +</w:t>
                  </w:r>
                </w:p>
              </w:tc>
              <w:tc>
                <w:tcPr>
                  <w:tcW w:w="1743" w:type="dxa"/>
                </w:tcPr>
                <w:p w:rsidR="00EF15BD" w:rsidRPr="00463E61" w:rsidRDefault="00EF15BD" w:rsidP="00171410">
                  <w:pPr>
                    <w:rPr>
                      <w:sz w:val="20"/>
                      <w:szCs w:val="20"/>
                    </w:rPr>
                  </w:pPr>
                  <w:r w:rsidRPr="00463E61">
                    <w:rPr>
                      <w:sz w:val="20"/>
                      <w:szCs w:val="20"/>
                    </w:rPr>
                    <w:t>14 hrs. a mo.</w:t>
                  </w:r>
                </w:p>
              </w:tc>
              <w:tc>
                <w:tcPr>
                  <w:tcW w:w="1744" w:type="dxa"/>
                </w:tcPr>
                <w:p w:rsidR="00EF15BD" w:rsidRPr="00463E61" w:rsidRDefault="00EF15BD" w:rsidP="00171410">
                  <w:pPr>
                    <w:rPr>
                      <w:sz w:val="20"/>
                      <w:szCs w:val="20"/>
                    </w:rPr>
                  </w:pPr>
                  <w:r w:rsidRPr="00463E61">
                    <w:rPr>
                      <w:sz w:val="20"/>
                      <w:szCs w:val="20"/>
                    </w:rPr>
                    <w:t>336</w:t>
                  </w:r>
                </w:p>
              </w:tc>
            </w:tr>
          </w:tbl>
          <w:p w:rsidR="00EF15BD" w:rsidRPr="00463E61" w:rsidRDefault="00EF15BD" w:rsidP="00384FB9">
            <w:pPr>
              <w:ind w:left="-13"/>
              <w:rPr>
                <w:sz w:val="20"/>
                <w:szCs w:val="20"/>
              </w:rPr>
            </w:pPr>
            <w:r w:rsidRPr="00463E61">
              <w:rPr>
                <w:sz w:val="20"/>
                <w:szCs w:val="20"/>
              </w:rPr>
              <w:t>All certified employees, regardless of service time earn sick leave at 6.66 hours per month, up to a maximum of 360 hours.</w:t>
            </w:r>
            <w:r w:rsidR="00384FB9">
              <w:rPr>
                <w:sz w:val="20"/>
                <w:szCs w:val="20"/>
              </w:rPr>
              <w:t xml:space="preserve">  </w:t>
            </w:r>
            <w:r w:rsidRPr="00463E61">
              <w:rPr>
                <w:sz w:val="20"/>
                <w:szCs w:val="20"/>
              </w:rPr>
              <w:t xml:space="preserve">Full payout for annual leave (not to exceed max balance) at retirement or termination. </w:t>
            </w:r>
            <w:r w:rsidR="00384FB9">
              <w:rPr>
                <w:sz w:val="20"/>
                <w:szCs w:val="20"/>
              </w:rPr>
              <w:t xml:space="preserve"> </w:t>
            </w:r>
            <w:r w:rsidRPr="00463E61">
              <w:rPr>
                <w:sz w:val="20"/>
                <w:szCs w:val="20"/>
              </w:rPr>
              <w:t>Sick leave payout at retirement is ¼ of actual balance not to exceed individual max.</w:t>
            </w:r>
          </w:p>
        </w:tc>
        <w:tc>
          <w:tcPr>
            <w:tcW w:w="5347" w:type="dxa"/>
          </w:tcPr>
          <w:p w:rsidR="00EF15BD" w:rsidRPr="00463E61" w:rsidRDefault="00C50F45" w:rsidP="00C50F45">
            <w:pPr>
              <w:ind w:left="-13"/>
              <w:rPr>
                <w:sz w:val="20"/>
                <w:szCs w:val="20"/>
              </w:rPr>
            </w:pPr>
            <w:r>
              <w:rPr>
                <w:sz w:val="20"/>
                <w:szCs w:val="20"/>
              </w:rPr>
              <w:t xml:space="preserve">Administrative </w:t>
            </w:r>
            <w:r w:rsidR="00EF15BD" w:rsidRPr="00463E61">
              <w:rPr>
                <w:sz w:val="20"/>
                <w:szCs w:val="20"/>
              </w:rPr>
              <w:t xml:space="preserve">employees </w:t>
            </w:r>
            <w:r>
              <w:rPr>
                <w:sz w:val="20"/>
                <w:szCs w:val="20"/>
              </w:rPr>
              <w:t>are granted 20 days of annual leave on July 1</w:t>
            </w:r>
            <w:r w:rsidRPr="00C50F45">
              <w:rPr>
                <w:sz w:val="20"/>
                <w:szCs w:val="20"/>
                <w:vertAlign w:val="superscript"/>
              </w:rPr>
              <w:t>st</w:t>
            </w:r>
            <w:r>
              <w:rPr>
                <w:sz w:val="20"/>
                <w:szCs w:val="20"/>
              </w:rPr>
              <w:t xml:space="preserve"> of each year.  Any unused annual leave rolls over each year up to a maximum of 40 days</w:t>
            </w:r>
          </w:p>
          <w:p w:rsidR="00EF15BD" w:rsidRDefault="00C50F45" w:rsidP="00B735DB">
            <w:pPr>
              <w:rPr>
                <w:sz w:val="20"/>
                <w:szCs w:val="20"/>
              </w:rPr>
            </w:pPr>
            <w:r>
              <w:rPr>
                <w:sz w:val="20"/>
                <w:szCs w:val="20"/>
              </w:rPr>
              <w:t>All Administrative</w:t>
            </w:r>
            <w:r w:rsidR="00EF15BD" w:rsidRPr="00463E61">
              <w:rPr>
                <w:sz w:val="20"/>
                <w:szCs w:val="20"/>
              </w:rPr>
              <w:t xml:space="preserve"> </w:t>
            </w:r>
            <w:r>
              <w:rPr>
                <w:sz w:val="20"/>
                <w:szCs w:val="20"/>
              </w:rPr>
              <w:t>employees are granted 20 days of sick leave on July 1</w:t>
            </w:r>
            <w:r w:rsidRPr="00C50F45">
              <w:rPr>
                <w:sz w:val="20"/>
                <w:szCs w:val="20"/>
                <w:vertAlign w:val="superscript"/>
              </w:rPr>
              <w:t>st</w:t>
            </w:r>
            <w:r>
              <w:rPr>
                <w:sz w:val="20"/>
                <w:szCs w:val="20"/>
              </w:rPr>
              <w:t xml:space="preserve"> of each year.  Any unused sick leave does not roll over to the next year.</w:t>
            </w:r>
          </w:p>
          <w:p w:rsidR="00384FB9" w:rsidRDefault="00384FB9" w:rsidP="00B735DB">
            <w:pPr>
              <w:rPr>
                <w:sz w:val="20"/>
                <w:szCs w:val="20"/>
              </w:rPr>
            </w:pPr>
            <w:r>
              <w:rPr>
                <w:sz w:val="20"/>
                <w:szCs w:val="20"/>
              </w:rPr>
              <w:t>An additional 46 days of short-term disability leave per fiscal year is allowed if the employee provides documentation from a medical doctor that such leave is necessary.</w:t>
            </w:r>
          </w:p>
          <w:p w:rsidR="00C50F45" w:rsidRPr="00463E61" w:rsidRDefault="00C50F45" w:rsidP="00C50F45">
            <w:pPr>
              <w:rPr>
                <w:sz w:val="20"/>
                <w:szCs w:val="20"/>
              </w:rPr>
            </w:pPr>
            <w:r>
              <w:rPr>
                <w:sz w:val="20"/>
                <w:szCs w:val="20"/>
              </w:rPr>
              <w:t>Vacation leave equivalent to the current leave balance upon retirement/termination is paid out not to exceed 40 days maximum.</w:t>
            </w:r>
          </w:p>
        </w:tc>
      </w:tr>
      <w:tr w:rsidR="00EF15BD" w:rsidRPr="00463E61" w:rsidTr="002316A2">
        <w:trPr>
          <w:trHeight w:val="1240"/>
        </w:trPr>
        <w:tc>
          <w:tcPr>
            <w:tcW w:w="2714" w:type="dxa"/>
          </w:tcPr>
          <w:p w:rsidR="00EF15BD" w:rsidRPr="00463E61" w:rsidRDefault="00EF15BD" w:rsidP="00171410">
            <w:pPr>
              <w:ind w:left="-13"/>
              <w:rPr>
                <w:sz w:val="20"/>
                <w:szCs w:val="20"/>
              </w:rPr>
            </w:pPr>
          </w:p>
        </w:tc>
        <w:tc>
          <w:tcPr>
            <w:tcW w:w="5099" w:type="dxa"/>
          </w:tcPr>
          <w:p w:rsidR="00384FB9" w:rsidRDefault="00EF15BD" w:rsidP="00384FB9">
            <w:pPr>
              <w:ind w:left="-13"/>
              <w:rPr>
                <w:sz w:val="20"/>
                <w:szCs w:val="20"/>
              </w:rPr>
            </w:pPr>
            <w:r w:rsidRPr="00463E61">
              <w:rPr>
                <w:sz w:val="20"/>
                <w:szCs w:val="20"/>
              </w:rPr>
              <w:t>Sick leave payout at termination – No payout unless eligible for retirement. (Not required to retire.)  If eligible</w:t>
            </w:r>
            <w:r w:rsidR="0093314A" w:rsidRPr="00463E61">
              <w:rPr>
                <w:sz w:val="20"/>
                <w:szCs w:val="20"/>
              </w:rPr>
              <w:t>,</w:t>
            </w:r>
            <w:r w:rsidRPr="00463E61">
              <w:rPr>
                <w:sz w:val="20"/>
                <w:szCs w:val="20"/>
              </w:rPr>
              <w:t xml:space="preserve"> paid ¼ </w:t>
            </w:r>
            <w:r w:rsidR="0093314A" w:rsidRPr="00463E61">
              <w:rPr>
                <w:sz w:val="20"/>
                <w:szCs w:val="20"/>
              </w:rPr>
              <w:t>of balance not to exceed maximum.</w:t>
            </w:r>
            <w:r w:rsidR="00384FB9">
              <w:rPr>
                <w:sz w:val="20"/>
                <w:szCs w:val="20"/>
              </w:rPr>
              <w:t xml:space="preserve"> </w:t>
            </w:r>
          </w:p>
          <w:p w:rsidR="00EF15BD" w:rsidRPr="00463E61" w:rsidRDefault="00384FB9" w:rsidP="002316A2">
            <w:pPr>
              <w:ind w:left="-13"/>
              <w:rPr>
                <w:sz w:val="20"/>
                <w:szCs w:val="20"/>
              </w:rPr>
            </w:pPr>
            <w:r w:rsidRPr="00463E61">
              <w:rPr>
                <w:sz w:val="20"/>
                <w:szCs w:val="20"/>
              </w:rPr>
              <w:t>When an employee transfers to Administrative</w:t>
            </w:r>
            <w:r>
              <w:rPr>
                <w:sz w:val="20"/>
                <w:szCs w:val="20"/>
              </w:rPr>
              <w:t xml:space="preserve"> position</w:t>
            </w:r>
            <w:r w:rsidRPr="00463E61">
              <w:rPr>
                <w:sz w:val="20"/>
                <w:szCs w:val="20"/>
              </w:rPr>
              <w:t xml:space="preserve">, unused accrued </w:t>
            </w:r>
            <w:r>
              <w:rPr>
                <w:sz w:val="20"/>
                <w:szCs w:val="20"/>
              </w:rPr>
              <w:t xml:space="preserve">annual </w:t>
            </w:r>
            <w:r w:rsidRPr="00463E61">
              <w:rPr>
                <w:sz w:val="20"/>
                <w:szCs w:val="20"/>
              </w:rPr>
              <w:t>leave transfers</w:t>
            </w:r>
            <w:r>
              <w:rPr>
                <w:sz w:val="20"/>
                <w:szCs w:val="20"/>
              </w:rPr>
              <w:t xml:space="preserve">.  Sick leave balances are retained in the event the employee returns to Classified </w:t>
            </w:r>
          </w:p>
        </w:tc>
        <w:tc>
          <w:tcPr>
            <w:tcW w:w="5347" w:type="dxa"/>
          </w:tcPr>
          <w:p w:rsidR="00EF15BD" w:rsidRPr="00463E61" w:rsidRDefault="00C50F45" w:rsidP="00C50F45">
            <w:pPr>
              <w:ind w:left="-13"/>
              <w:rPr>
                <w:sz w:val="20"/>
                <w:szCs w:val="20"/>
              </w:rPr>
            </w:pPr>
            <w:r>
              <w:rPr>
                <w:sz w:val="20"/>
                <w:szCs w:val="20"/>
              </w:rPr>
              <w:t>No sick leave payout upon retirement/termination.</w:t>
            </w:r>
          </w:p>
        </w:tc>
      </w:tr>
      <w:tr w:rsidR="00BD06F7" w:rsidRPr="00463E61" w:rsidTr="002316A2">
        <w:trPr>
          <w:trHeight w:val="8630"/>
        </w:trPr>
        <w:tc>
          <w:tcPr>
            <w:tcW w:w="2714" w:type="dxa"/>
            <w:vMerge w:val="restart"/>
          </w:tcPr>
          <w:p w:rsidR="00BD06F7" w:rsidRPr="00463E61" w:rsidRDefault="00BD06F7" w:rsidP="00171410">
            <w:pPr>
              <w:ind w:left="-13"/>
              <w:rPr>
                <w:sz w:val="20"/>
                <w:szCs w:val="20"/>
              </w:rPr>
            </w:pPr>
            <w:r w:rsidRPr="00463E61">
              <w:rPr>
                <w:sz w:val="20"/>
                <w:szCs w:val="20"/>
              </w:rPr>
              <w:lastRenderedPageBreak/>
              <w:t>Other types of Leave</w:t>
            </w:r>
          </w:p>
          <w:p w:rsidR="00BD06F7" w:rsidRPr="00463E61" w:rsidRDefault="00BD06F7" w:rsidP="00171410">
            <w:pPr>
              <w:ind w:left="-13"/>
              <w:rPr>
                <w:sz w:val="20"/>
                <w:szCs w:val="20"/>
              </w:rPr>
            </w:pPr>
          </w:p>
          <w:p w:rsidR="00BD06F7" w:rsidRPr="00463E61" w:rsidRDefault="00BD06F7" w:rsidP="00171410">
            <w:pPr>
              <w:ind w:left="-13"/>
              <w:rPr>
                <w:sz w:val="20"/>
                <w:szCs w:val="20"/>
              </w:rPr>
            </w:pPr>
          </w:p>
          <w:p w:rsidR="00BD06F7" w:rsidRPr="00463E61" w:rsidRDefault="00BD06F7" w:rsidP="00171410">
            <w:pPr>
              <w:ind w:left="-13"/>
              <w:rPr>
                <w:sz w:val="20"/>
                <w:szCs w:val="20"/>
              </w:rPr>
            </w:pPr>
          </w:p>
          <w:p w:rsidR="00BD06F7" w:rsidRPr="00463E61" w:rsidRDefault="00BD06F7" w:rsidP="00171410">
            <w:pPr>
              <w:ind w:left="-13"/>
              <w:rPr>
                <w:sz w:val="20"/>
                <w:szCs w:val="20"/>
              </w:rPr>
            </w:pPr>
          </w:p>
          <w:p w:rsidR="00BD06F7" w:rsidRPr="00463E61" w:rsidRDefault="00BD06F7" w:rsidP="00171410">
            <w:pPr>
              <w:ind w:left="-13"/>
              <w:rPr>
                <w:sz w:val="20"/>
                <w:szCs w:val="20"/>
              </w:rPr>
            </w:pPr>
          </w:p>
        </w:tc>
        <w:tc>
          <w:tcPr>
            <w:tcW w:w="5099" w:type="dxa"/>
          </w:tcPr>
          <w:p w:rsidR="00BD06F7" w:rsidRPr="00463E61" w:rsidRDefault="00BD06F7" w:rsidP="00C62581">
            <w:pPr>
              <w:pStyle w:val="ListParagraph"/>
              <w:numPr>
                <w:ilvl w:val="0"/>
                <w:numId w:val="1"/>
              </w:numPr>
              <w:rPr>
                <w:sz w:val="20"/>
                <w:szCs w:val="20"/>
              </w:rPr>
            </w:pPr>
            <w:r w:rsidRPr="00463E61">
              <w:rPr>
                <w:sz w:val="20"/>
                <w:szCs w:val="20"/>
              </w:rPr>
              <w:t>Bereavement – Up to 40 hrs. at the discretion of the appointing authority.</w:t>
            </w:r>
          </w:p>
          <w:p w:rsidR="00BD06F7" w:rsidRPr="00463E61" w:rsidRDefault="00BD06F7" w:rsidP="00C62581">
            <w:pPr>
              <w:pStyle w:val="ListParagraph"/>
              <w:numPr>
                <w:ilvl w:val="0"/>
                <w:numId w:val="1"/>
              </w:numPr>
              <w:rPr>
                <w:sz w:val="20"/>
                <w:szCs w:val="20"/>
              </w:rPr>
            </w:pPr>
            <w:r w:rsidRPr="00463E61">
              <w:rPr>
                <w:sz w:val="20"/>
                <w:szCs w:val="20"/>
              </w:rPr>
              <w:t>Jury Leave – paid for term of the jury duty.</w:t>
            </w:r>
          </w:p>
          <w:p w:rsidR="00BD06F7" w:rsidRPr="00463E61" w:rsidRDefault="00BD06F7" w:rsidP="00C62581">
            <w:pPr>
              <w:pStyle w:val="ListParagraph"/>
              <w:numPr>
                <w:ilvl w:val="0"/>
                <w:numId w:val="1"/>
              </w:numPr>
              <w:rPr>
                <w:sz w:val="20"/>
                <w:szCs w:val="20"/>
              </w:rPr>
            </w:pPr>
            <w:r w:rsidRPr="00463E61">
              <w:rPr>
                <w:sz w:val="20"/>
                <w:szCs w:val="20"/>
              </w:rPr>
              <w:t xml:space="preserve">Military Leave – Up to 15 paid </w:t>
            </w:r>
            <w:r w:rsidR="002316A2" w:rsidRPr="00463E61">
              <w:rPr>
                <w:sz w:val="20"/>
                <w:szCs w:val="20"/>
              </w:rPr>
              <w:t>workdays</w:t>
            </w:r>
            <w:r w:rsidRPr="00463E61">
              <w:rPr>
                <w:sz w:val="20"/>
                <w:szCs w:val="20"/>
              </w:rPr>
              <w:t xml:space="preserve"> in a fiscal year.  Unpaid leave is granted after the exhaustion of the </w:t>
            </w:r>
            <w:r w:rsidR="002316A2" w:rsidRPr="00463E61">
              <w:rPr>
                <w:sz w:val="20"/>
                <w:szCs w:val="20"/>
              </w:rPr>
              <w:t>15-paid</w:t>
            </w:r>
            <w:r w:rsidRPr="00463E61">
              <w:rPr>
                <w:sz w:val="20"/>
                <w:szCs w:val="20"/>
              </w:rPr>
              <w:t xml:space="preserve"> </w:t>
            </w:r>
            <w:r w:rsidR="002316A2" w:rsidRPr="00463E61">
              <w:rPr>
                <w:sz w:val="20"/>
                <w:szCs w:val="20"/>
              </w:rPr>
              <w:t>workdays</w:t>
            </w:r>
            <w:r w:rsidRPr="00463E61">
              <w:rPr>
                <w:sz w:val="20"/>
                <w:szCs w:val="20"/>
              </w:rPr>
              <w:t xml:space="preserve"> up to the maximum allowed by law.</w:t>
            </w:r>
          </w:p>
          <w:p w:rsidR="00BD06F7" w:rsidRPr="00463E61" w:rsidRDefault="00BD06F7" w:rsidP="00C62581">
            <w:pPr>
              <w:pStyle w:val="ListParagraph"/>
              <w:numPr>
                <w:ilvl w:val="0"/>
                <w:numId w:val="1"/>
              </w:numPr>
              <w:rPr>
                <w:sz w:val="20"/>
                <w:szCs w:val="20"/>
              </w:rPr>
            </w:pPr>
            <w:r w:rsidRPr="00463E61">
              <w:rPr>
                <w:sz w:val="20"/>
                <w:szCs w:val="20"/>
              </w:rPr>
              <w:t>Administrative Leave – Must be for the good of the state a</w:t>
            </w:r>
            <w:r w:rsidR="00C50F45">
              <w:rPr>
                <w:sz w:val="20"/>
                <w:szCs w:val="20"/>
              </w:rPr>
              <w:t>nd granted in certain situation</w:t>
            </w:r>
            <w:r w:rsidRPr="00463E61">
              <w:rPr>
                <w:sz w:val="20"/>
                <w:szCs w:val="20"/>
              </w:rPr>
              <w:t xml:space="preserve">s per State Personnel Board Rules Ch. 5 and may be granted at the discretion of the </w:t>
            </w:r>
            <w:r w:rsidR="00CD18FF">
              <w:rPr>
                <w:sz w:val="20"/>
                <w:szCs w:val="20"/>
              </w:rPr>
              <w:t>University</w:t>
            </w:r>
            <w:r w:rsidR="00384FB9">
              <w:rPr>
                <w:sz w:val="20"/>
                <w:szCs w:val="20"/>
              </w:rPr>
              <w:t xml:space="preserve"> President or Designee </w:t>
            </w:r>
            <w:r w:rsidRPr="00463E61">
              <w:rPr>
                <w:sz w:val="20"/>
                <w:szCs w:val="20"/>
              </w:rPr>
              <w:t>in other situations.</w:t>
            </w:r>
          </w:p>
          <w:p w:rsidR="00BD06F7" w:rsidRPr="00463E61" w:rsidRDefault="00BD06F7" w:rsidP="00C62581">
            <w:pPr>
              <w:pStyle w:val="ListParagraph"/>
              <w:numPr>
                <w:ilvl w:val="0"/>
                <w:numId w:val="1"/>
              </w:numPr>
              <w:rPr>
                <w:sz w:val="20"/>
                <w:szCs w:val="20"/>
              </w:rPr>
            </w:pPr>
            <w:r w:rsidRPr="00463E61">
              <w:rPr>
                <w:sz w:val="20"/>
                <w:szCs w:val="20"/>
              </w:rPr>
              <w:t xml:space="preserve">Holiday Leave – Ten paid holidays per the </w:t>
            </w:r>
            <w:r w:rsidR="00CD18FF">
              <w:rPr>
                <w:sz w:val="20"/>
                <w:szCs w:val="20"/>
              </w:rPr>
              <w:t>University</w:t>
            </w:r>
            <w:r w:rsidRPr="00463E61">
              <w:rPr>
                <w:sz w:val="20"/>
                <w:szCs w:val="20"/>
              </w:rPr>
              <w:t xml:space="preserve"> calendar prorated for part-time employees.</w:t>
            </w:r>
          </w:p>
          <w:p w:rsidR="00BD06F7" w:rsidRPr="00463E61" w:rsidRDefault="00BD06F7" w:rsidP="00C62581">
            <w:pPr>
              <w:pStyle w:val="ListParagraph"/>
              <w:numPr>
                <w:ilvl w:val="0"/>
                <w:numId w:val="1"/>
              </w:numPr>
              <w:rPr>
                <w:sz w:val="20"/>
                <w:szCs w:val="20"/>
              </w:rPr>
            </w:pPr>
            <w:r w:rsidRPr="00463E61">
              <w:rPr>
                <w:sz w:val="20"/>
                <w:szCs w:val="20"/>
              </w:rPr>
              <w:t>Victim Protection Leave – Up to 24 hours of unpaid leave (LWOP) per fiscal year for victims of stalking, sexual assault, domestic abuse, or violence.</w:t>
            </w:r>
          </w:p>
          <w:p w:rsidR="00BD06F7" w:rsidRPr="00463E61" w:rsidRDefault="00BD06F7" w:rsidP="00C62581">
            <w:pPr>
              <w:pStyle w:val="ListParagraph"/>
              <w:numPr>
                <w:ilvl w:val="0"/>
                <w:numId w:val="1"/>
              </w:numPr>
              <w:rPr>
                <w:sz w:val="20"/>
                <w:szCs w:val="20"/>
              </w:rPr>
            </w:pPr>
            <w:r w:rsidRPr="00463E61">
              <w:rPr>
                <w:sz w:val="20"/>
                <w:szCs w:val="20"/>
              </w:rPr>
              <w:t xml:space="preserve">On-the-job injury (OJI) Leave – Up to 90 occurrences of paid leave for an employee who suffers an injury or illness compensable under the Workers’ Compensation Act.  After OJI, the employee uses make whole to the extent of accrued leave.   </w:t>
            </w:r>
          </w:p>
          <w:p w:rsidR="00BD06F7" w:rsidRPr="00463E61" w:rsidRDefault="00BD06F7" w:rsidP="00C62581">
            <w:pPr>
              <w:pStyle w:val="ListParagraph"/>
              <w:numPr>
                <w:ilvl w:val="0"/>
                <w:numId w:val="1"/>
              </w:numPr>
              <w:rPr>
                <w:sz w:val="20"/>
                <w:szCs w:val="20"/>
              </w:rPr>
            </w:pPr>
            <w:r w:rsidRPr="00463E61">
              <w:rPr>
                <w:sz w:val="20"/>
                <w:szCs w:val="20"/>
              </w:rPr>
              <w:t>Unpaid Leave – May be approved at the appointing authorities discretion after the exhaustion of applicable paid leave.</w:t>
            </w:r>
          </w:p>
          <w:p w:rsidR="00BD06F7" w:rsidRPr="00463E61" w:rsidRDefault="00BD06F7" w:rsidP="00C62581">
            <w:pPr>
              <w:pStyle w:val="ListParagraph"/>
              <w:numPr>
                <w:ilvl w:val="0"/>
                <w:numId w:val="1"/>
              </w:numPr>
              <w:rPr>
                <w:sz w:val="20"/>
                <w:szCs w:val="20"/>
              </w:rPr>
            </w:pPr>
            <w:r w:rsidRPr="00463E61">
              <w:rPr>
                <w:sz w:val="20"/>
                <w:szCs w:val="20"/>
              </w:rPr>
              <w:t xml:space="preserve">Short Term Disability Leave – Up to six months of unpaid leave for employees with at least one year of service while either state or PERA </w:t>
            </w:r>
            <w:r w:rsidR="002316A2" w:rsidRPr="00463E61">
              <w:rPr>
                <w:sz w:val="20"/>
                <w:szCs w:val="20"/>
              </w:rPr>
              <w:t>short-term</w:t>
            </w:r>
            <w:r w:rsidRPr="00463E61">
              <w:rPr>
                <w:sz w:val="20"/>
                <w:szCs w:val="20"/>
              </w:rPr>
              <w:t xml:space="preserve"> disability benefit payments are being made.</w:t>
            </w:r>
          </w:p>
        </w:tc>
        <w:tc>
          <w:tcPr>
            <w:tcW w:w="5347" w:type="dxa"/>
            <w:vMerge w:val="restart"/>
          </w:tcPr>
          <w:p w:rsidR="00BD06F7" w:rsidRPr="00463E61" w:rsidRDefault="00BD06F7" w:rsidP="006352BC">
            <w:pPr>
              <w:pStyle w:val="ListParagraph"/>
              <w:numPr>
                <w:ilvl w:val="0"/>
                <w:numId w:val="2"/>
              </w:numPr>
              <w:rPr>
                <w:sz w:val="20"/>
                <w:szCs w:val="20"/>
              </w:rPr>
            </w:pPr>
            <w:r w:rsidRPr="00463E61">
              <w:rPr>
                <w:sz w:val="20"/>
                <w:szCs w:val="20"/>
              </w:rPr>
              <w:t>Bereavement – Up to 5 paid working days at the discretion of the supervisor</w:t>
            </w:r>
          </w:p>
          <w:p w:rsidR="00BD06F7" w:rsidRPr="00463E61" w:rsidRDefault="00BD06F7" w:rsidP="006352BC">
            <w:pPr>
              <w:pStyle w:val="ListParagraph"/>
              <w:numPr>
                <w:ilvl w:val="0"/>
                <w:numId w:val="2"/>
              </w:numPr>
              <w:rPr>
                <w:sz w:val="20"/>
                <w:szCs w:val="20"/>
              </w:rPr>
            </w:pPr>
            <w:r w:rsidRPr="00463E61">
              <w:rPr>
                <w:sz w:val="20"/>
                <w:szCs w:val="20"/>
              </w:rPr>
              <w:t>Jury and Court Leave – Paid for the term of the jury duty or when appearing as a witness under subpoena.</w:t>
            </w:r>
          </w:p>
          <w:p w:rsidR="00BD06F7" w:rsidRPr="00463E61" w:rsidRDefault="00BD06F7" w:rsidP="006352BC">
            <w:pPr>
              <w:pStyle w:val="ListParagraph"/>
              <w:numPr>
                <w:ilvl w:val="0"/>
                <w:numId w:val="2"/>
              </w:numPr>
              <w:rPr>
                <w:sz w:val="20"/>
                <w:szCs w:val="20"/>
              </w:rPr>
            </w:pPr>
            <w:r w:rsidRPr="00463E61">
              <w:rPr>
                <w:sz w:val="20"/>
                <w:szCs w:val="20"/>
              </w:rPr>
              <w:t xml:space="preserve">Military Leave – Up to 15 paid days per year. Unpaid leave is granted after the exhaustion of the </w:t>
            </w:r>
            <w:r w:rsidR="002316A2" w:rsidRPr="00463E61">
              <w:rPr>
                <w:sz w:val="20"/>
                <w:szCs w:val="20"/>
              </w:rPr>
              <w:t>15-paid</w:t>
            </w:r>
            <w:r w:rsidRPr="00463E61">
              <w:rPr>
                <w:sz w:val="20"/>
                <w:szCs w:val="20"/>
              </w:rPr>
              <w:t xml:space="preserve"> calendar days up to the maximum allowed by law. </w:t>
            </w:r>
          </w:p>
          <w:p w:rsidR="00BD06F7" w:rsidRPr="00463E61" w:rsidRDefault="00BD06F7" w:rsidP="006352BC">
            <w:pPr>
              <w:pStyle w:val="ListParagraph"/>
              <w:numPr>
                <w:ilvl w:val="0"/>
                <w:numId w:val="2"/>
              </w:numPr>
              <w:rPr>
                <w:sz w:val="20"/>
                <w:szCs w:val="20"/>
              </w:rPr>
            </w:pPr>
            <w:r w:rsidRPr="00463E61">
              <w:rPr>
                <w:sz w:val="20"/>
                <w:szCs w:val="20"/>
              </w:rPr>
              <w:t xml:space="preserve">Administrative Leave – May be granted at the discretion of the </w:t>
            </w:r>
            <w:r w:rsidR="00CD18FF">
              <w:rPr>
                <w:sz w:val="20"/>
                <w:szCs w:val="20"/>
              </w:rPr>
              <w:t>University</w:t>
            </w:r>
            <w:r w:rsidR="00384FB9">
              <w:rPr>
                <w:sz w:val="20"/>
                <w:szCs w:val="20"/>
              </w:rPr>
              <w:t xml:space="preserve"> President or Designee </w:t>
            </w:r>
            <w:r w:rsidRPr="00463E61">
              <w:rPr>
                <w:sz w:val="20"/>
                <w:szCs w:val="20"/>
              </w:rPr>
              <w:t>in certain situations.</w:t>
            </w:r>
          </w:p>
          <w:p w:rsidR="00BD06F7" w:rsidRPr="00463E61" w:rsidRDefault="00BD06F7" w:rsidP="006352BC">
            <w:pPr>
              <w:pStyle w:val="ListParagraph"/>
              <w:numPr>
                <w:ilvl w:val="0"/>
                <w:numId w:val="2"/>
              </w:numPr>
              <w:rPr>
                <w:sz w:val="20"/>
                <w:szCs w:val="20"/>
              </w:rPr>
            </w:pPr>
            <w:r w:rsidRPr="00463E61">
              <w:rPr>
                <w:sz w:val="20"/>
                <w:szCs w:val="20"/>
              </w:rPr>
              <w:t xml:space="preserve">Holiday Leave – Ten holidays per the </w:t>
            </w:r>
            <w:r w:rsidR="00CD18FF">
              <w:rPr>
                <w:sz w:val="20"/>
                <w:szCs w:val="20"/>
              </w:rPr>
              <w:t>University</w:t>
            </w:r>
            <w:r w:rsidRPr="00463E61">
              <w:rPr>
                <w:sz w:val="20"/>
                <w:szCs w:val="20"/>
              </w:rPr>
              <w:t xml:space="preserve"> calendar prorated for part-time employees.</w:t>
            </w:r>
          </w:p>
          <w:p w:rsidR="00BD06F7" w:rsidRPr="00463E61" w:rsidRDefault="00BD06F7" w:rsidP="006352BC">
            <w:pPr>
              <w:pStyle w:val="ListParagraph"/>
              <w:numPr>
                <w:ilvl w:val="0"/>
                <w:numId w:val="2"/>
              </w:numPr>
              <w:rPr>
                <w:sz w:val="20"/>
                <w:szCs w:val="20"/>
              </w:rPr>
            </w:pPr>
            <w:r w:rsidRPr="00463E61">
              <w:rPr>
                <w:sz w:val="20"/>
                <w:szCs w:val="20"/>
              </w:rPr>
              <w:t xml:space="preserve">On-the-job injury (OJI) Leave – Up to 90 </w:t>
            </w:r>
            <w:r w:rsidR="002316A2" w:rsidRPr="00463E61">
              <w:rPr>
                <w:sz w:val="20"/>
                <w:szCs w:val="20"/>
              </w:rPr>
              <w:t>workdays</w:t>
            </w:r>
            <w:r w:rsidRPr="00463E61">
              <w:rPr>
                <w:sz w:val="20"/>
                <w:szCs w:val="20"/>
              </w:rPr>
              <w:t xml:space="preserve"> of paid leave for an employee who suffers an injury or illness compensable under the Workers’ Compensation Act. </w:t>
            </w:r>
          </w:p>
          <w:p w:rsidR="00BD06F7" w:rsidRPr="00463E61" w:rsidRDefault="00BD06F7" w:rsidP="006352BC">
            <w:pPr>
              <w:pStyle w:val="ListParagraph"/>
              <w:numPr>
                <w:ilvl w:val="0"/>
                <w:numId w:val="2"/>
              </w:numPr>
              <w:rPr>
                <w:sz w:val="20"/>
                <w:szCs w:val="20"/>
              </w:rPr>
            </w:pPr>
            <w:r w:rsidRPr="00463E61">
              <w:rPr>
                <w:sz w:val="20"/>
                <w:szCs w:val="20"/>
              </w:rPr>
              <w:t>Leave with Pay – May be granted for valid reasons for a period not to exceed 12 months.  All vacation leave must be exhausted first.</w:t>
            </w:r>
          </w:p>
          <w:p w:rsidR="00BD06F7" w:rsidRPr="00463E61" w:rsidRDefault="00BD06F7" w:rsidP="00C9031F">
            <w:pPr>
              <w:rPr>
                <w:sz w:val="20"/>
                <w:szCs w:val="20"/>
              </w:rPr>
            </w:pPr>
          </w:p>
          <w:p w:rsidR="00BD06F7" w:rsidRPr="00463E61" w:rsidRDefault="00BD06F7" w:rsidP="00C9031F">
            <w:pPr>
              <w:rPr>
                <w:sz w:val="20"/>
                <w:szCs w:val="20"/>
              </w:rPr>
            </w:pPr>
          </w:p>
          <w:p w:rsidR="00BD06F7" w:rsidRPr="00463E61" w:rsidRDefault="00BD06F7" w:rsidP="00C9031F">
            <w:pPr>
              <w:rPr>
                <w:sz w:val="20"/>
                <w:szCs w:val="20"/>
              </w:rPr>
            </w:pPr>
          </w:p>
          <w:p w:rsidR="00BD06F7" w:rsidRPr="00463E61" w:rsidRDefault="00BD06F7" w:rsidP="00C9031F">
            <w:pPr>
              <w:rPr>
                <w:sz w:val="20"/>
                <w:szCs w:val="20"/>
              </w:rPr>
            </w:pPr>
          </w:p>
          <w:p w:rsidR="00BD06F7" w:rsidRPr="00463E61" w:rsidRDefault="00BD06F7" w:rsidP="00C9031F">
            <w:pPr>
              <w:rPr>
                <w:sz w:val="20"/>
                <w:szCs w:val="20"/>
              </w:rPr>
            </w:pPr>
            <w:r w:rsidRPr="00463E61">
              <w:rPr>
                <w:sz w:val="20"/>
                <w:szCs w:val="20"/>
              </w:rPr>
              <w:t xml:space="preserve"> </w:t>
            </w:r>
          </w:p>
        </w:tc>
      </w:tr>
      <w:tr w:rsidR="002316A2" w:rsidRPr="00463E61" w:rsidTr="002316A2">
        <w:trPr>
          <w:trHeight w:val="16343"/>
        </w:trPr>
        <w:tc>
          <w:tcPr>
            <w:tcW w:w="2714" w:type="dxa"/>
            <w:vMerge/>
          </w:tcPr>
          <w:p w:rsidR="002316A2" w:rsidRPr="00463E61" w:rsidRDefault="002316A2" w:rsidP="00171410">
            <w:pPr>
              <w:ind w:left="-13"/>
              <w:rPr>
                <w:sz w:val="20"/>
                <w:szCs w:val="20"/>
              </w:rPr>
            </w:pPr>
          </w:p>
        </w:tc>
        <w:tc>
          <w:tcPr>
            <w:tcW w:w="5099" w:type="dxa"/>
          </w:tcPr>
          <w:p w:rsidR="002316A2" w:rsidRPr="00463E61" w:rsidRDefault="002316A2" w:rsidP="002316A2">
            <w:pPr>
              <w:rPr>
                <w:sz w:val="20"/>
                <w:szCs w:val="20"/>
              </w:rPr>
            </w:pPr>
          </w:p>
        </w:tc>
        <w:tc>
          <w:tcPr>
            <w:tcW w:w="5347" w:type="dxa"/>
            <w:vMerge/>
          </w:tcPr>
          <w:p w:rsidR="002316A2" w:rsidRPr="00463E61" w:rsidRDefault="002316A2" w:rsidP="006352BC">
            <w:pPr>
              <w:pStyle w:val="ListParagraph"/>
              <w:numPr>
                <w:ilvl w:val="0"/>
                <w:numId w:val="2"/>
              </w:numPr>
              <w:rPr>
                <w:sz w:val="20"/>
                <w:szCs w:val="20"/>
              </w:rPr>
            </w:pPr>
          </w:p>
        </w:tc>
      </w:tr>
    </w:tbl>
    <w:p w:rsidR="00D957DF" w:rsidRPr="00463E61" w:rsidRDefault="00D957DF" w:rsidP="002C0742">
      <w:pPr>
        <w:rPr>
          <w:b/>
          <w:sz w:val="20"/>
          <w:szCs w:val="20"/>
        </w:rPr>
      </w:pPr>
    </w:p>
    <w:tbl>
      <w:tblPr>
        <w:tblW w:w="1319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
        <w:gridCol w:w="1907"/>
        <w:gridCol w:w="26"/>
        <w:gridCol w:w="5001"/>
        <w:gridCol w:w="5893"/>
        <w:gridCol w:w="186"/>
      </w:tblGrid>
      <w:tr w:rsidR="00FC6740" w:rsidRPr="00463E61" w:rsidTr="000268AA">
        <w:trPr>
          <w:gridAfter w:val="1"/>
          <w:wAfter w:w="186" w:type="dxa"/>
          <w:trHeight w:val="63"/>
        </w:trPr>
        <w:tc>
          <w:tcPr>
            <w:tcW w:w="2093" w:type="dxa"/>
            <w:gridSpan w:val="2"/>
            <w:vMerge w:val="restart"/>
          </w:tcPr>
          <w:p w:rsidR="00FC6740" w:rsidRPr="00463E61" w:rsidRDefault="00FC6740" w:rsidP="00D957DF">
            <w:pPr>
              <w:ind w:left="-27"/>
              <w:rPr>
                <w:sz w:val="20"/>
                <w:szCs w:val="20"/>
              </w:rPr>
            </w:pPr>
            <w:r w:rsidRPr="00463E61">
              <w:rPr>
                <w:sz w:val="20"/>
                <w:szCs w:val="20"/>
              </w:rPr>
              <w:t>Family Medical Leave</w:t>
            </w:r>
          </w:p>
        </w:tc>
        <w:tc>
          <w:tcPr>
            <w:tcW w:w="5027" w:type="dxa"/>
            <w:gridSpan w:val="2"/>
            <w:vMerge w:val="restart"/>
          </w:tcPr>
          <w:p w:rsidR="00FC6740" w:rsidRPr="00463E61" w:rsidRDefault="00FC6740" w:rsidP="0048634C">
            <w:pPr>
              <w:ind w:left="-27"/>
              <w:rPr>
                <w:sz w:val="20"/>
                <w:szCs w:val="20"/>
              </w:rPr>
            </w:pPr>
            <w:r w:rsidRPr="00463E61">
              <w:rPr>
                <w:sz w:val="20"/>
                <w:szCs w:val="20"/>
              </w:rPr>
              <w:t>Classified employees with at least one year of service (need not be consecutive) are eligible for up to 13 weeks (520 hrs.) of FML job protection per fiscal year for the following reasons: 1) birth of a child and care of a newborn child; 2) up to one year from birth including the placement and care of a child for adoption/foster care; 3) a serious health condition of a spouse, child or parent; 4) an employee’s own serious health condition; 5) active duty family leave for qualifying exigency directly related to being called to, or on active duty for a contingency operation, or 6) up to 26 weeks (1040 hrs.) in a single 12-month period for military caregiver leave for service member who is seriously ill or injured in the line of duty while on active duty</w:t>
            </w:r>
          </w:p>
        </w:tc>
        <w:tc>
          <w:tcPr>
            <w:tcW w:w="5893" w:type="dxa"/>
          </w:tcPr>
          <w:p w:rsidR="00FC6740" w:rsidRPr="00463E61" w:rsidRDefault="00382E20" w:rsidP="00D957DF">
            <w:pPr>
              <w:ind w:left="-27"/>
              <w:rPr>
                <w:sz w:val="20"/>
                <w:szCs w:val="20"/>
              </w:rPr>
            </w:pPr>
            <w:r>
              <w:rPr>
                <w:sz w:val="20"/>
                <w:szCs w:val="20"/>
              </w:rPr>
              <w:t>Administrative e</w:t>
            </w:r>
            <w:r w:rsidR="00FC6740" w:rsidRPr="00463E61">
              <w:rPr>
                <w:sz w:val="20"/>
                <w:szCs w:val="20"/>
              </w:rPr>
              <w:t xml:space="preserve">mployees with at least one year of </w:t>
            </w:r>
            <w:r w:rsidR="00CD18FF">
              <w:rPr>
                <w:sz w:val="20"/>
                <w:szCs w:val="20"/>
              </w:rPr>
              <w:t>University</w:t>
            </w:r>
            <w:r w:rsidR="00FC6740" w:rsidRPr="00463E61">
              <w:rPr>
                <w:sz w:val="20"/>
                <w:szCs w:val="20"/>
              </w:rPr>
              <w:t xml:space="preserve"> service (need not be consecutive) and who have worked at least 1250 hours within the most recent 12 month period are eligible for up to 12 weeks of FML job protection during a rolling 12 month period, measured backward from the date they use FML for the following reasons:  1) the birth of a child and care of a newborn child; 2) up to one year from birth including the placement and care of a child for adoption/foster care; 3) a serious health condition of a spouse, child, or parent; 4) an employee’s own serious health condition; 5) active duty family leave for qualifying exigency directly related to being called to or on active duty for a contingency operation, or 6) up to 26 weeks (1040 hrs.) in a single 12 month period for military caregiver leave for service member who is seriously ill or injured in the line of duty while on active duty.</w:t>
            </w:r>
          </w:p>
          <w:p w:rsidR="00FC6740" w:rsidRPr="00463E61" w:rsidRDefault="00FC6740" w:rsidP="00D957DF">
            <w:pPr>
              <w:ind w:left="-27"/>
              <w:rPr>
                <w:sz w:val="20"/>
                <w:szCs w:val="20"/>
              </w:rPr>
            </w:pPr>
          </w:p>
          <w:p w:rsidR="00FC6740" w:rsidRPr="00463E61" w:rsidRDefault="00382E20" w:rsidP="00D957DF">
            <w:pPr>
              <w:ind w:left="-27"/>
              <w:rPr>
                <w:sz w:val="20"/>
                <w:szCs w:val="20"/>
              </w:rPr>
            </w:pPr>
            <w:r>
              <w:rPr>
                <w:sz w:val="20"/>
                <w:szCs w:val="20"/>
              </w:rPr>
              <w:t>In addition to FML, Administrative</w:t>
            </w:r>
            <w:r w:rsidR="00FC6740" w:rsidRPr="00463E61">
              <w:rPr>
                <w:sz w:val="20"/>
                <w:szCs w:val="20"/>
              </w:rPr>
              <w:t xml:space="preserve"> employees are entitled to take up to six months of Parental Leave following the birth or adoption of a child.  A/E’s can use any accrued sick and vacation leave during this time.  Parental leave must be taken within 12 months of the birth or adoption of a child.  Parental leave runs concurrently with FML.</w:t>
            </w:r>
          </w:p>
          <w:p w:rsidR="00FC6740" w:rsidRPr="00463E61" w:rsidRDefault="00FC6740" w:rsidP="00D957DF">
            <w:pPr>
              <w:ind w:left="-27"/>
              <w:rPr>
                <w:sz w:val="20"/>
                <w:szCs w:val="20"/>
              </w:rPr>
            </w:pPr>
          </w:p>
          <w:p w:rsidR="00FC6740" w:rsidRPr="00463E61" w:rsidRDefault="00FC6740" w:rsidP="00D957DF">
            <w:pPr>
              <w:ind w:left="-27"/>
              <w:rPr>
                <w:sz w:val="20"/>
                <w:szCs w:val="20"/>
              </w:rPr>
            </w:pPr>
          </w:p>
          <w:p w:rsidR="00FC6740" w:rsidRPr="00463E61" w:rsidRDefault="00FC6740" w:rsidP="00D957DF">
            <w:pPr>
              <w:ind w:left="-27"/>
              <w:rPr>
                <w:sz w:val="20"/>
                <w:szCs w:val="20"/>
              </w:rPr>
            </w:pPr>
          </w:p>
          <w:p w:rsidR="00FC6740" w:rsidRPr="00463E61" w:rsidRDefault="00FC6740" w:rsidP="00D957DF">
            <w:pPr>
              <w:ind w:left="-27"/>
              <w:rPr>
                <w:sz w:val="20"/>
                <w:szCs w:val="20"/>
              </w:rPr>
            </w:pPr>
          </w:p>
          <w:p w:rsidR="00FC6740" w:rsidRPr="00463E61" w:rsidRDefault="00FC6740" w:rsidP="00D957DF">
            <w:pPr>
              <w:ind w:left="-27"/>
              <w:rPr>
                <w:sz w:val="20"/>
                <w:szCs w:val="20"/>
              </w:rPr>
            </w:pPr>
          </w:p>
          <w:p w:rsidR="00FC6740" w:rsidRPr="00463E61" w:rsidRDefault="00FC6740" w:rsidP="00D957DF">
            <w:pPr>
              <w:ind w:left="-27"/>
              <w:rPr>
                <w:sz w:val="20"/>
                <w:szCs w:val="20"/>
              </w:rPr>
            </w:pPr>
          </w:p>
          <w:p w:rsidR="00FC6740" w:rsidRPr="00463E61" w:rsidRDefault="00FC6740" w:rsidP="00D957DF">
            <w:pPr>
              <w:ind w:left="-27"/>
              <w:rPr>
                <w:sz w:val="20"/>
                <w:szCs w:val="20"/>
              </w:rPr>
            </w:pPr>
          </w:p>
          <w:p w:rsidR="00FC6740" w:rsidRPr="00463E61" w:rsidRDefault="00FC6740" w:rsidP="00D957DF">
            <w:pPr>
              <w:ind w:left="-27"/>
              <w:rPr>
                <w:sz w:val="20"/>
                <w:szCs w:val="20"/>
              </w:rPr>
            </w:pPr>
          </w:p>
          <w:p w:rsidR="00FC6740" w:rsidRPr="00463E61" w:rsidRDefault="00FC6740" w:rsidP="00D957DF">
            <w:pPr>
              <w:ind w:left="-27"/>
              <w:rPr>
                <w:sz w:val="20"/>
                <w:szCs w:val="20"/>
              </w:rPr>
            </w:pPr>
          </w:p>
        </w:tc>
      </w:tr>
      <w:tr w:rsidR="00FC6740" w:rsidRPr="00463E61" w:rsidTr="00D957DF">
        <w:trPr>
          <w:gridAfter w:val="1"/>
          <w:wAfter w:w="186" w:type="dxa"/>
          <w:trHeight w:val="8353"/>
        </w:trPr>
        <w:tc>
          <w:tcPr>
            <w:tcW w:w="2093" w:type="dxa"/>
            <w:gridSpan w:val="2"/>
            <w:vMerge/>
          </w:tcPr>
          <w:p w:rsidR="00FC6740" w:rsidRPr="00463E61" w:rsidRDefault="00FC6740" w:rsidP="00D957DF">
            <w:pPr>
              <w:ind w:left="-27"/>
              <w:rPr>
                <w:sz w:val="20"/>
                <w:szCs w:val="20"/>
              </w:rPr>
            </w:pPr>
          </w:p>
        </w:tc>
        <w:tc>
          <w:tcPr>
            <w:tcW w:w="5027" w:type="dxa"/>
            <w:gridSpan w:val="2"/>
            <w:vMerge/>
          </w:tcPr>
          <w:p w:rsidR="00FC6740" w:rsidRPr="00463E61" w:rsidRDefault="00FC6740" w:rsidP="0048634C">
            <w:pPr>
              <w:ind w:left="-27"/>
              <w:rPr>
                <w:sz w:val="20"/>
                <w:szCs w:val="20"/>
              </w:rPr>
            </w:pPr>
          </w:p>
        </w:tc>
        <w:tc>
          <w:tcPr>
            <w:tcW w:w="5893" w:type="dxa"/>
          </w:tcPr>
          <w:p w:rsidR="00FC6740" w:rsidRPr="00463E61" w:rsidRDefault="00FC6740" w:rsidP="00D957DF">
            <w:pPr>
              <w:ind w:left="-27"/>
              <w:rPr>
                <w:sz w:val="20"/>
                <w:szCs w:val="20"/>
              </w:rPr>
            </w:pPr>
          </w:p>
        </w:tc>
      </w:tr>
      <w:tr w:rsidR="00D957DF" w:rsidRPr="00463E61" w:rsidTr="00D957DF">
        <w:trPr>
          <w:gridBefore w:val="1"/>
          <w:wBefore w:w="186" w:type="dxa"/>
          <w:trHeight w:val="8707"/>
        </w:trPr>
        <w:tc>
          <w:tcPr>
            <w:tcW w:w="1933" w:type="dxa"/>
            <w:gridSpan w:val="2"/>
          </w:tcPr>
          <w:p w:rsidR="00D957DF" w:rsidRPr="00463E61" w:rsidRDefault="00D957DF" w:rsidP="002C0742">
            <w:pPr>
              <w:rPr>
                <w:b/>
                <w:sz w:val="20"/>
                <w:szCs w:val="20"/>
              </w:rPr>
            </w:pPr>
          </w:p>
        </w:tc>
        <w:tc>
          <w:tcPr>
            <w:tcW w:w="11080" w:type="dxa"/>
            <w:gridSpan w:val="3"/>
          </w:tcPr>
          <w:p w:rsidR="00D957DF" w:rsidRPr="002316A2" w:rsidRDefault="00D957DF" w:rsidP="002316A2"/>
        </w:tc>
      </w:tr>
    </w:tbl>
    <w:p w:rsidR="000268AA" w:rsidRPr="00463E61" w:rsidRDefault="000268AA" w:rsidP="002C0742">
      <w:pPr>
        <w:rPr>
          <w:b/>
          <w:sz w:val="20"/>
          <w:szCs w:val="20"/>
        </w:rPr>
      </w:pPr>
    </w:p>
    <w:p w:rsidR="00FC6740" w:rsidRPr="00463E61" w:rsidRDefault="00FC6740" w:rsidP="002C0742">
      <w:pPr>
        <w:rPr>
          <w:b/>
          <w:sz w:val="20"/>
          <w:szCs w:val="20"/>
        </w:rPr>
      </w:pPr>
    </w:p>
    <w:p w:rsidR="00757224" w:rsidRPr="00463E61" w:rsidRDefault="00757224" w:rsidP="002C0742">
      <w:pPr>
        <w:rPr>
          <w:b/>
          <w:sz w:val="20"/>
          <w:szCs w:val="20"/>
        </w:rPr>
      </w:pPr>
    </w:p>
    <w:p w:rsidR="00757224" w:rsidRPr="00463E61" w:rsidRDefault="00757224" w:rsidP="002C0742">
      <w:pPr>
        <w:rPr>
          <w:b/>
          <w:sz w:val="20"/>
          <w:szCs w:val="20"/>
        </w:rPr>
      </w:pPr>
    </w:p>
    <w:p w:rsidR="00757224" w:rsidRPr="00463E61" w:rsidRDefault="00757224" w:rsidP="002C0742">
      <w:pPr>
        <w:rPr>
          <w:b/>
          <w:sz w:val="20"/>
          <w:szCs w:val="20"/>
        </w:rPr>
      </w:pPr>
    </w:p>
    <w:p w:rsidR="00BD06F7" w:rsidRPr="00463E61" w:rsidRDefault="00BD06F7" w:rsidP="002C0742">
      <w:pPr>
        <w:rPr>
          <w:b/>
          <w:sz w:val="20"/>
          <w:szCs w:val="20"/>
        </w:rPr>
      </w:pPr>
    </w:p>
    <w:p w:rsidR="00171410" w:rsidRPr="00463E61" w:rsidRDefault="00171410" w:rsidP="002C0742">
      <w:pPr>
        <w:rPr>
          <w:b/>
          <w:sz w:val="20"/>
          <w:szCs w:val="20"/>
        </w:rPr>
      </w:pPr>
    </w:p>
    <w:p w:rsidR="00463E61" w:rsidRDefault="00463E61"/>
    <w:sectPr w:rsidR="00463E61" w:rsidSect="00463E61">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95" w:rsidRDefault="001D7195" w:rsidP="00316AAA">
      <w:pPr>
        <w:spacing w:before="0" w:after="0" w:line="240" w:lineRule="auto"/>
      </w:pPr>
      <w:r>
        <w:separator/>
      </w:r>
    </w:p>
  </w:endnote>
  <w:endnote w:type="continuationSeparator" w:id="0">
    <w:p w:rsidR="001D7195" w:rsidRDefault="001D7195" w:rsidP="00316A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66498"/>
      <w:docPartObj>
        <w:docPartGallery w:val="Page Numbers (Bottom of Page)"/>
        <w:docPartUnique/>
      </w:docPartObj>
    </w:sdtPr>
    <w:sdtEndPr/>
    <w:sdtContent>
      <w:p w:rsidR="001D7195" w:rsidRDefault="007C31DE">
        <w:pPr>
          <w:pStyle w:val="Footer"/>
          <w:jc w:val="right"/>
        </w:pPr>
        <w:r>
          <w:fldChar w:fldCharType="begin"/>
        </w:r>
        <w:r w:rsidR="001D7195">
          <w:instrText xml:space="preserve"> PAGE   \* MERGEFORMAT </w:instrText>
        </w:r>
        <w:r>
          <w:fldChar w:fldCharType="separate"/>
        </w:r>
        <w:r w:rsidR="00CB6D5A">
          <w:rPr>
            <w:noProof/>
          </w:rPr>
          <w:t>10</w:t>
        </w:r>
        <w:r>
          <w:rPr>
            <w:noProof/>
          </w:rPr>
          <w:fldChar w:fldCharType="end"/>
        </w:r>
      </w:p>
    </w:sdtContent>
  </w:sdt>
  <w:p w:rsidR="001D7195" w:rsidRDefault="001D7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95" w:rsidRDefault="001D7195" w:rsidP="00316AAA">
      <w:pPr>
        <w:spacing w:before="0" w:after="0" w:line="240" w:lineRule="auto"/>
      </w:pPr>
      <w:r>
        <w:separator/>
      </w:r>
    </w:p>
  </w:footnote>
  <w:footnote w:type="continuationSeparator" w:id="0">
    <w:p w:rsidR="001D7195" w:rsidRDefault="001D7195" w:rsidP="00316A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759379"/>
      <w:docPartObj>
        <w:docPartGallery w:val="Watermarks"/>
        <w:docPartUnique/>
      </w:docPartObj>
    </w:sdtPr>
    <w:sdtEndPr/>
    <w:sdtContent>
      <w:p w:rsidR="001D7195" w:rsidRDefault="00CB6D5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B0991"/>
    <w:multiLevelType w:val="hybridMultilevel"/>
    <w:tmpl w:val="5B4A7A74"/>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
    <w:nsid w:val="400C5908"/>
    <w:multiLevelType w:val="hybridMultilevel"/>
    <w:tmpl w:val="879A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45509"/>
    <w:rsid w:val="0002069C"/>
    <w:rsid w:val="00021B04"/>
    <w:rsid w:val="000268AA"/>
    <w:rsid w:val="00045CD9"/>
    <w:rsid w:val="000A58EC"/>
    <w:rsid w:val="000B528F"/>
    <w:rsid w:val="0010713C"/>
    <w:rsid w:val="001236E3"/>
    <w:rsid w:val="00171410"/>
    <w:rsid w:val="00190B6E"/>
    <w:rsid w:val="00196E3A"/>
    <w:rsid w:val="001A4D24"/>
    <w:rsid w:val="001D3AC2"/>
    <w:rsid w:val="001D7195"/>
    <w:rsid w:val="00224AA2"/>
    <w:rsid w:val="002316A2"/>
    <w:rsid w:val="002478D6"/>
    <w:rsid w:val="0025574F"/>
    <w:rsid w:val="002C0742"/>
    <w:rsid w:val="00311EBB"/>
    <w:rsid w:val="00316AAA"/>
    <w:rsid w:val="00332EF2"/>
    <w:rsid w:val="003402D6"/>
    <w:rsid w:val="00347646"/>
    <w:rsid w:val="00382E20"/>
    <w:rsid w:val="00384FB9"/>
    <w:rsid w:val="00426E69"/>
    <w:rsid w:val="00463E61"/>
    <w:rsid w:val="0048634C"/>
    <w:rsid w:val="006352BC"/>
    <w:rsid w:val="0069452B"/>
    <w:rsid w:val="006A4DEC"/>
    <w:rsid w:val="00750B1C"/>
    <w:rsid w:val="00757224"/>
    <w:rsid w:val="007843B0"/>
    <w:rsid w:val="007B4448"/>
    <w:rsid w:val="007B6D58"/>
    <w:rsid w:val="007C31DE"/>
    <w:rsid w:val="008454F0"/>
    <w:rsid w:val="00850684"/>
    <w:rsid w:val="008F0140"/>
    <w:rsid w:val="00926EFB"/>
    <w:rsid w:val="0093314A"/>
    <w:rsid w:val="0094547A"/>
    <w:rsid w:val="009963DF"/>
    <w:rsid w:val="009F19C2"/>
    <w:rsid w:val="00A16DC3"/>
    <w:rsid w:val="00AA0444"/>
    <w:rsid w:val="00B735DB"/>
    <w:rsid w:val="00B76638"/>
    <w:rsid w:val="00BD06F7"/>
    <w:rsid w:val="00BD15E3"/>
    <w:rsid w:val="00BE47AC"/>
    <w:rsid w:val="00C31706"/>
    <w:rsid w:val="00C50F45"/>
    <w:rsid w:val="00C62581"/>
    <w:rsid w:val="00C9031F"/>
    <w:rsid w:val="00CB6D5A"/>
    <w:rsid w:val="00CC3E58"/>
    <w:rsid w:val="00CD18FF"/>
    <w:rsid w:val="00D25E40"/>
    <w:rsid w:val="00D27094"/>
    <w:rsid w:val="00D56CF7"/>
    <w:rsid w:val="00D60ECE"/>
    <w:rsid w:val="00D63905"/>
    <w:rsid w:val="00D82291"/>
    <w:rsid w:val="00D957DF"/>
    <w:rsid w:val="00DD6A0C"/>
    <w:rsid w:val="00E354ED"/>
    <w:rsid w:val="00E5649E"/>
    <w:rsid w:val="00E64E01"/>
    <w:rsid w:val="00E92B82"/>
    <w:rsid w:val="00EB249D"/>
    <w:rsid w:val="00EC22AB"/>
    <w:rsid w:val="00EF15BD"/>
    <w:rsid w:val="00F17C30"/>
    <w:rsid w:val="00F45509"/>
    <w:rsid w:val="00F56D0D"/>
    <w:rsid w:val="00F609F3"/>
    <w:rsid w:val="00F679F7"/>
    <w:rsid w:val="00F97FAE"/>
    <w:rsid w:val="00FC6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CD9"/>
    <w:pPr>
      <w:spacing w:before="0" w:after="0" w:line="240" w:lineRule="auto"/>
    </w:pPr>
  </w:style>
  <w:style w:type="paragraph" w:styleId="Header">
    <w:name w:val="header"/>
    <w:basedOn w:val="Normal"/>
    <w:link w:val="HeaderChar"/>
    <w:uiPriority w:val="99"/>
    <w:unhideWhenUsed/>
    <w:rsid w:val="00316AA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16AAA"/>
  </w:style>
  <w:style w:type="paragraph" w:styleId="Footer">
    <w:name w:val="footer"/>
    <w:basedOn w:val="Normal"/>
    <w:link w:val="FooterChar"/>
    <w:uiPriority w:val="99"/>
    <w:unhideWhenUsed/>
    <w:rsid w:val="00316AA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16AAA"/>
  </w:style>
  <w:style w:type="table" w:styleId="TableGrid">
    <w:name w:val="Table Grid"/>
    <w:basedOn w:val="TableNormal"/>
    <w:uiPriority w:val="59"/>
    <w:rsid w:val="00DD6A0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2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CD9"/>
    <w:pPr>
      <w:spacing w:before="0" w:after="0" w:line="240" w:lineRule="auto"/>
    </w:pPr>
  </w:style>
  <w:style w:type="paragraph" w:styleId="Header">
    <w:name w:val="header"/>
    <w:basedOn w:val="Normal"/>
    <w:link w:val="HeaderChar"/>
    <w:uiPriority w:val="99"/>
    <w:unhideWhenUsed/>
    <w:rsid w:val="00316AA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16AAA"/>
  </w:style>
  <w:style w:type="paragraph" w:styleId="Footer">
    <w:name w:val="footer"/>
    <w:basedOn w:val="Normal"/>
    <w:link w:val="FooterChar"/>
    <w:uiPriority w:val="99"/>
    <w:unhideWhenUsed/>
    <w:rsid w:val="00316AA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16AAA"/>
  </w:style>
  <w:style w:type="table" w:styleId="TableGrid">
    <w:name w:val="Table Grid"/>
    <w:basedOn w:val="TableNormal"/>
    <w:uiPriority w:val="59"/>
    <w:rsid w:val="00DD6A0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2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1449</Words>
  <Characters>8262</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Madline SaBell</dc:creator>
  <cp:lastModifiedBy>infotech</cp:lastModifiedBy>
  <cp:revision>4</cp:revision>
  <cp:lastPrinted>2012-03-28T19:52:00Z</cp:lastPrinted>
  <dcterms:created xsi:type="dcterms:W3CDTF">2012-10-05T19:00:00Z</dcterms:created>
  <dcterms:modified xsi:type="dcterms:W3CDTF">2013-06-18T16:43:00Z</dcterms:modified>
</cp:coreProperties>
</file>