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4"/>
        <w:gridCol w:w="341"/>
        <w:gridCol w:w="927"/>
        <w:gridCol w:w="610"/>
        <w:gridCol w:w="267"/>
        <w:gridCol w:w="1234"/>
        <w:gridCol w:w="1789"/>
        <w:gridCol w:w="1478"/>
        <w:gridCol w:w="3013"/>
        <w:gridCol w:w="7"/>
      </w:tblGrid>
      <w:tr w:rsidR="00D0174E" w:rsidRPr="001F6256" w:rsidTr="005C064F">
        <w:trPr>
          <w:gridAfter w:val="1"/>
          <w:wAfter w:w="7" w:type="dxa"/>
          <w:trHeight w:val="665"/>
        </w:trPr>
        <w:tc>
          <w:tcPr>
            <w:tcW w:w="10303" w:type="dxa"/>
            <w:gridSpan w:val="9"/>
            <w:shd w:val="clear" w:color="auto" w:fill="000000"/>
            <w:vAlign w:val="center"/>
          </w:tcPr>
          <w:p w:rsidR="00D0174E" w:rsidRPr="005D4E04" w:rsidRDefault="00D0174E" w:rsidP="00A10DE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D4E04">
              <w:rPr>
                <w:rFonts w:ascii="Arial" w:hAnsi="Arial" w:cs="Arial"/>
                <w:b/>
              </w:rPr>
              <w:t xml:space="preserve">Use for both continuing review and as a final report to close a </w:t>
            </w:r>
            <w:r w:rsidR="006F407C" w:rsidRPr="005D4E04">
              <w:rPr>
                <w:rFonts w:ascii="Arial" w:hAnsi="Arial" w:cs="Arial"/>
                <w:b/>
              </w:rPr>
              <w:t>protocol</w:t>
            </w:r>
            <w:r w:rsidRPr="005D4E04">
              <w:rPr>
                <w:rFonts w:ascii="Arial" w:hAnsi="Arial" w:cs="Arial"/>
                <w:b/>
              </w:rPr>
              <w:t>.</w:t>
            </w:r>
          </w:p>
          <w:p w:rsidR="004129E4" w:rsidRPr="001F6256" w:rsidRDefault="004129E4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modifications are being requested, submit a separate request for a modification.</w:t>
            </w:r>
          </w:p>
        </w:tc>
      </w:tr>
      <w:tr w:rsidR="005C4A9F" w:rsidRPr="001F6256" w:rsidTr="005C064F">
        <w:trPr>
          <w:gridAfter w:val="1"/>
          <w:wAfter w:w="7" w:type="dxa"/>
          <w:trHeight w:hRule="exact" w:val="360"/>
        </w:trPr>
        <w:tc>
          <w:tcPr>
            <w:tcW w:w="2522" w:type="dxa"/>
            <w:gridSpan w:val="4"/>
            <w:vAlign w:val="center"/>
          </w:tcPr>
          <w:p w:rsidR="005C4A9F" w:rsidRPr="00BA3AAF" w:rsidRDefault="005C4A9F" w:rsidP="00B814D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 xml:space="preserve">HSPP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(IRBNet) Number</w:t>
            </w: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81" w:type="dxa"/>
            <w:gridSpan w:val="5"/>
            <w:vAlign w:val="center"/>
          </w:tcPr>
          <w:p w:rsidR="005C4A9F" w:rsidRPr="00BA3AAF" w:rsidRDefault="005C4A9F" w:rsidP="00093A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D4E04" w:rsidRPr="001F6256" w:rsidTr="005C064F">
        <w:trPr>
          <w:gridAfter w:val="1"/>
          <w:wAfter w:w="7" w:type="dxa"/>
          <w:trHeight w:hRule="exact" w:val="360"/>
        </w:trPr>
        <w:tc>
          <w:tcPr>
            <w:tcW w:w="2522" w:type="dxa"/>
            <w:gridSpan w:val="4"/>
            <w:vAlign w:val="center"/>
          </w:tcPr>
          <w:p w:rsidR="005D4E04" w:rsidRPr="00BA3AAF" w:rsidRDefault="005D4E04" w:rsidP="00093A0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781" w:type="dxa"/>
            <w:gridSpan w:val="5"/>
            <w:vAlign w:val="center"/>
          </w:tcPr>
          <w:p w:rsidR="005D4E04" w:rsidRPr="00BA3AAF" w:rsidRDefault="005D4E04" w:rsidP="00093A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D4E04" w:rsidRPr="001F6256" w:rsidTr="005C064F">
        <w:trPr>
          <w:gridAfter w:val="1"/>
          <w:wAfter w:w="7" w:type="dxa"/>
          <w:trHeight w:hRule="exact" w:val="360"/>
        </w:trPr>
        <w:tc>
          <w:tcPr>
            <w:tcW w:w="2522" w:type="dxa"/>
            <w:gridSpan w:val="4"/>
            <w:vAlign w:val="center"/>
          </w:tcPr>
          <w:p w:rsidR="005D4E04" w:rsidRPr="00BA3AAF" w:rsidRDefault="005D4E04" w:rsidP="00093A0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781" w:type="dxa"/>
            <w:gridSpan w:val="5"/>
            <w:vAlign w:val="center"/>
          </w:tcPr>
          <w:p w:rsidR="005D4E04" w:rsidRPr="00BA3AAF" w:rsidRDefault="005D4E04" w:rsidP="00093A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C031E" w:rsidRPr="001F6256" w:rsidTr="005C064F">
        <w:trPr>
          <w:gridAfter w:val="1"/>
          <w:wAfter w:w="7" w:type="dxa"/>
          <w:trHeight w:val="422"/>
        </w:trPr>
        <w:tc>
          <w:tcPr>
            <w:tcW w:w="10303" w:type="dxa"/>
            <w:gridSpan w:val="9"/>
            <w:shd w:val="clear" w:color="auto" w:fill="000000"/>
            <w:vAlign w:val="center"/>
          </w:tcPr>
          <w:p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7631DB" w:rsidRPr="001F6256" w:rsidTr="005C064F">
        <w:trPr>
          <w:gridAfter w:val="1"/>
          <w:wAfter w:w="7" w:type="dxa"/>
        </w:trPr>
        <w:tc>
          <w:tcPr>
            <w:tcW w:w="2789" w:type="dxa"/>
            <w:gridSpan w:val="5"/>
            <w:vAlign w:val="center"/>
          </w:tcPr>
          <w:p w:rsidR="007631DB" w:rsidRPr="001F6256" w:rsidRDefault="007631DB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234" w:type="dxa"/>
            <w:vAlign w:val="center"/>
          </w:tcPr>
          <w:p w:rsidR="007631DB" w:rsidRPr="008735BA" w:rsidRDefault="007631DB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789" w:type="dxa"/>
            <w:vAlign w:val="center"/>
          </w:tcPr>
          <w:p w:rsidR="007631DB" w:rsidRPr="008735BA" w:rsidRDefault="007631DB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4491" w:type="dxa"/>
            <w:gridSpan w:val="2"/>
            <w:vAlign w:val="center"/>
          </w:tcPr>
          <w:p w:rsidR="007631DB" w:rsidRPr="00DA478A" w:rsidRDefault="007631DB" w:rsidP="008735BA">
            <w:pPr>
              <w:jc w:val="center"/>
              <w:rPr>
                <w:rFonts w:ascii="Arial Narrow" w:hAnsi="Arial Narrow" w:cs="Arial"/>
                <w:color w:val="0A0A0A"/>
                <w:sz w:val="20"/>
                <w:szCs w:val="20"/>
              </w:rPr>
            </w:pPr>
          </w:p>
        </w:tc>
      </w:tr>
      <w:tr w:rsidR="007631DB" w:rsidRPr="001F6256" w:rsidTr="005C064F">
        <w:trPr>
          <w:gridAfter w:val="1"/>
          <w:wAfter w:w="7" w:type="dxa"/>
          <w:trHeight w:hRule="exact" w:val="360"/>
        </w:trPr>
        <w:tc>
          <w:tcPr>
            <w:tcW w:w="2789" w:type="dxa"/>
            <w:gridSpan w:val="5"/>
            <w:vAlign w:val="center"/>
          </w:tcPr>
          <w:p w:rsidR="007631DB" w:rsidRPr="000D0275" w:rsidRDefault="007631DB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At this investigator’s site(s):</w:t>
            </w:r>
          </w:p>
        </w:tc>
        <w:tc>
          <w:tcPr>
            <w:tcW w:w="1234" w:type="dxa"/>
            <w:vAlign w:val="center"/>
          </w:tcPr>
          <w:p w:rsidR="007631DB" w:rsidRPr="001F6256" w:rsidRDefault="007631DB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:rsidR="007631DB" w:rsidRPr="001F6256" w:rsidRDefault="007631DB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491" w:type="dxa"/>
            <w:gridSpan w:val="2"/>
            <w:vAlign w:val="center"/>
          </w:tcPr>
          <w:p w:rsidR="007631DB" w:rsidRPr="00DA478A" w:rsidRDefault="007631DB" w:rsidP="00573C9B">
            <w:pPr>
              <w:jc w:val="center"/>
              <w:rPr>
                <w:rFonts w:ascii="Arial Narrow" w:hAnsi="Arial Narrow" w:cs="Arial"/>
                <w:color w:val="0A0A0A"/>
                <w:sz w:val="22"/>
                <w:szCs w:val="22"/>
              </w:rPr>
            </w:pPr>
          </w:p>
        </w:tc>
      </w:tr>
      <w:tr w:rsidR="00AC427F" w:rsidRPr="001F6256" w:rsidTr="005C064F">
        <w:trPr>
          <w:gridAfter w:val="1"/>
          <w:wAfter w:w="7" w:type="dxa"/>
          <w:trHeight w:hRule="exact" w:val="360"/>
        </w:trPr>
        <w:tc>
          <w:tcPr>
            <w:tcW w:w="2789" w:type="dxa"/>
            <w:gridSpan w:val="5"/>
            <w:vAlign w:val="center"/>
          </w:tcPr>
          <w:p w:rsidR="00AC427F" w:rsidRPr="000D0275" w:rsidRDefault="00AC427F" w:rsidP="006C455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D0275">
              <w:rPr>
                <w:rFonts w:ascii="Arial Narrow" w:hAnsi="Arial Narrow" w:cs="Arial"/>
                <w:sz w:val="22"/>
                <w:szCs w:val="22"/>
              </w:rPr>
              <w:t>Study wide:</w:t>
            </w:r>
          </w:p>
        </w:tc>
        <w:tc>
          <w:tcPr>
            <w:tcW w:w="1234" w:type="dxa"/>
            <w:vAlign w:val="center"/>
          </w:tcPr>
          <w:p w:rsidR="00AC427F" w:rsidRPr="001F6256" w:rsidRDefault="00AC427F" w:rsidP="00FB1B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6280" w:type="dxa"/>
            <w:gridSpan w:val="3"/>
            <w:vAlign w:val="center"/>
          </w:tcPr>
          <w:p w:rsidR="00AC427F" w:rsidRPr="001F6256" w:rsidRDefault="00AC427F" w:rsidP="008735B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275" w:rsidRPr="001F6256" w:rsidTr="005C064F">
        <w:trPr>
          <w:gridAfter w:val="1"/>
          <w:wAfter w:w="7" w:type="dxa"/>
        </w:trPr>
        <w:tc>
          <w:tcPr>
            <w:tcW w:w="10303" w:type="dxa"/>
            <w:gridSpan w:val="9"/>
            <w:shd w:val="clear" w:color="auto" w:fill="000000"/>
            <w:vAlign w:val="center"/>
          </w:tcPr>
          <w:p w:rsidR="00AB39CC" w:rsidRDefault="000D0275" w:rsidP="00AB39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  <w:r w:rsidR="00AB39CC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AB39CC" w:rsidRPr="001F6256" w:rsidRDefault="000D0275" w:rsidP="004F24A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</w:t>
            </w:r>
          </w:p>
        </w:tc>
      </w:tr>
      <w:tr w:rsidR="000D0275" w:rsidRPr="001F6256" w:rsidTr="005C064F">
        <w:trPr>
          <w:gridAfter w:val="1"/>
          <w:wAfter w:w="7" w:type="dxa"/>
          <w:trHeight w:val="395"/>
        </w:trPr>
        <w:tc>
          <w:tcPr>
            <w:tcW w:w="644" w:type="dxa"/>
            <w:vAlign w:val="center"/>
          </w:tcPr>
          <w:p w:rsidR="000D0275" w:rsidRPr="001F6256" w:rsidRDefault="000D0275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659" w:type="dxa"/>
            <w:gridSpan w:val="8"/>
            <w:vAlign w:val="center"/>
          </w:tcPr>
          <w:p w:rsidR="000D0275" w:rsidRPr="001F6256" w:rsidRDefault="006402A2" w:rsidP="001F1C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enrollment.</w:t>
            </w:r>
          </w:p>
        </w:tc>
      </w:tr>
      <w:tr w:rsidR="000D0275" w:rsidRPr="001F6256" w:rsidTr="005C064F">
        <w:trPr>
          <w:gridAfter w:val="1"/>
          <w:wAfter w:w="7" w:type="dxa"/>
          <w:trHeight w:val="620"/>
        </w:trPr>
        <w:tc>
          <w:tcPr>
            <w:tcW w:w="644" w:type="dxa"/>
            <w:vAlign w:val="center"/>
          </w:tcPr>
          <w:p w:rsidR="000D0275" w:rsidRPr="001F6256" w:rsidRDefault="000D0275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8"/>
            <w:vAlign w:val="center"/>
          </w:tcPr>
          <w:p w:rsidR="000D0275" w:rsidRPr="001F6256" w:rsidRDefault="006402A2" w:rsidP="001F1C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</w:t>
            </w:r>
            <w:r w:rsidR="006F407C">
              <w:rPr>
                <w:rFonts w:ascii="Arial Narrow" w:hAnsi="Arial Narrow" w:cs="Arial"/>
                <w:sz w:val="22"/>
                <w:szCs w:val="22"/>
              </w:rPr>
              <w:t>have completed all 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:rsidTr="005C064F">
        <w:trPr>
          <w:gridAfter w:val="1"/>
          <w:wAfter w:w="7" w:type="dxa"/>
          <w:trHeight w:val="350"/>
        </w:trPr>
        <w:tc>
          <w:tcPr>
            <w:tcW w:w="644" w:type="dxa"/>
            <w:vAlign w:val="center"/>
          </w:tcPr>
          <w:p w:rsidR="000D0275" w:rsidRPr="001F6256" w:rsidRDefault="000D0275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8"/>
            <w:shd w:val="clear" w:color="auto" w:fill="auto"/>
            <w:vAlign w:val="center"/>
          </w:tcPr>
          <w:p w:rsidR="000D0275" w:rsidRPr="001F6256" w:rsidRDefault="006402A2" w:rsidP="006402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organization’s investigator</w:t>
            </w:r>
            <w:r w:rsidR="005D4E04">
              <w:rPr>
                <w:rFonts w:ascii="Arial Narrow" w:hAnsi="Arial Narrow" w:cs="Arial"/>
                <w:sz w:val="22"/>
                <w:szCs w:val="22"/>
              </w:rPr>
              <w:t>(s)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0D0275" w:rsidRPr="001F6256" w:rsidTr="005C064F">
        <w:trPr>
          <w:gridAfter w:val="1"/>
          <w:wAfter w:w="7" w:type="dxa"/>
          <w:trHeight w:val="620"/>
        </w:trPr>
        <w:tc>
          <w:tcPr>
            <w:tcW w:w="644" w:type="dxa"/>
            <w:vAlign w:val="center"/>
          </w:tcPr>
          <w:p w:rsidR="000D0275" w:rsidRPr="001F6256" w:rsidRDefault="000D0275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8"/>
            <w:shd w:val="clear" w:color="auto" w:fill="auto"/>
            <w:vAlign w:val="center"/>
          </w:tcPr>
          <w:p w:rsidR="000D0275" w:rsidRPr="001F6256" w:rsidRDefault="000D0275" w:rsidP="006402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 xml:space="preserve">at this organization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 w:rsid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D4E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402A2" w:rsidRPr="00D30691">
              <w:rPr>
                <w:rFonts w:ascii="Arial Narrow" w:hAnsi="Arial Narrow" w:cs="Arial"/>
                <w:i/>
                <w:sz w:val="22"/>
                <w:szCs w:val="22"/>
              </w:rPr>
              <w:t>(This can be checked even if a statistical center at another organization will analyze private identifiable from subjects enrolled at this organization.)</w:t>
            </w:r>
          </w:p>
        </w:tc>
      </w:tr>
      <w:tr w:rsidR="000D0275" w:rsidRPr="001F6256" w:rsidTr="005C064F">
        <w:trPr>
          <w:gridAfter w:val="1"/>
          <w:wAfter w:w="7" w:type="dxa"/>
          <w:trHeight w:val="350"/>
        </w:trPr>
        <w:tc>
          <w:tcPr>
            <w:tcW w:w="10303" w:type="dxa"/>
            <w:gridSpan w:val="9"/>
            <w:tcBorders>
              <w:bottom w:val="single" w:sz="4" w:space="0" w:color="auto"/>
            </w:tcBorders>
            <w:vAlign w:val="center"/>
          </w:tcPr>
          <w:p w:rsidR="000D0275" w:rsidRPr="001F6256" w:rsidRDefault="000D0275" w:rsidP="00D306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If all above </w:t>
            </w:r>
            <w:r w:rsidR="007224EB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re checked, </w:t>
            </w:r>
            <w:r w:rsidR="006402A2">
              <w:rPr>
                <w:rFonts w:ascii="Arial Narrow" w:hAnsi="Arial Narrow" w:cs="Arial"/>
                <w:b/>
                <w:sz w:val="22"/>
                <w:szCs w:val="22"/>
              </w:rPr>
              <w:t xml:space="preserve">this will be the last continuing review of </w:t>
            </w:r>
            <w:r w:rsidR="00D30691">
              <w:rPr>
                <w:rFonts w:ascii="Arial Narrow" w:hAnsi="Arial Narrow" w:cs="Arial"/>
                <w:b/>
                <w:sz w:val="22"/>
                <w:szCs w:val="22"/>
              </w:rPr>
              <w:t>this</w:t>
            </w:r>
            <w:r w:rsidR="006402A2">
              <w:rPr>
                <w:rFonts w:ascii="Arial Narrow" w:hAnsi="Arial Narrow" w:cs="Arial"/>
                <w:b/>
                <w:sz w:val="22"/>
                <w:szCs w:val="22"/>
              </w:rPr>
              <w:t xml:space="preserve"> protocol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0D0275" w:rsidRPr="001F6256" w:rsidTr="005C064F">
        <w:trPr>
          <w:gridAfter w:val="1"/>
          <w:wAfter w:w="7" w:type="dxa"/>
          <w:trHeight w:val="350"/>
        </w:trPr>
        <w:tc>
          <w:tcPr>
            <w:tcW w:w="644" w:type="dxa"/>
            <w:vAlign w:val="center"/>
          </w:tcPr>
          <w:p w:rsidR="000D0275" w:rsidRPr="001F6256" w:rsidRDefault="000D0275" w:rsidP="00A53E8A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8"/>
            <w:vAlign w:val="center"/>
          </w:tcPr>
          <w:p w:rsidR="000D0275" w:rsidRPr="001F6256" w:rsidRDefault="000D0275" w:rsidP="007224EB">
            <w:pPr>
              <w:rPr>
                <w:rFonts w:ascii="Arial Narrow" w:hAnsi="Arial Narrow"/>
                <w:sz w:val="22"/>
              </w:rPr>
            </w:pPr>
            <w:r w:rsidRPr="001F6256">
              <w:rPr>
                <w:rFonts w:ascii="Arial Narrow" w:hAnsi="Arial Narrow"/>
                <w:sz w:val="22"/>
              </w:rPr>
              <w:t xml:space="preserve">The remaining </w:t>
            </w:r>
            <w:r w:rsidR="007224EB">
              <w:rPr>
                <w:rFonts w:ascii="Arial Narrow" w:hAnsi="Arial Narrow"/>
                <w:sz w:val="22"/>
              </w:rPr>
              <w:t>protocol</w:t>
            </w:r>
            <w:r w:rsidRPr="001F6256">
              <w:rPr>
                <w:rFonts w:ascii="Arial Narrow" w:hAnsi="Arial Narrow"/>
                <w:sz w:val="22"/>
              </w:rPr>
              <w:t xml:space="preserve"> activities are limited to data analysis.</w:t>
            </w:r>
          </w:p>
        </w:tc>
      </w:tr>
      <w:tr w:rsidR="000D0275" w:rsidRPr="001F6256" w:rsidTr="005C064F">
        <w:trPr>
          <w:gridAfter w:val="1"/>
          <w:wAfter w:w="7" w:type="dxa"/>
          <w:trHeight w:val="440"/>
        </w:trPr>
        <w:tc>
          <w:tcPr>
            <w:tcW w:w="644" w:type="dxa"/>
            <w:vAlign w:val="center"/>
          </w:tcPr>
          <w:p w:rsidR="000D0275" w:rsidRPr="001F6256" w:rsidRDefault="000D0275" w:rsidP="00A53E8A">
            <w:pPr>
              <w:pStyle w:val="SOPTableEntry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  <w:gridSpan w:val="8"/>
            <w:vAlign w:val="center"/>
          </w:tcPr>
          <w:p w:rsidR="000D0275" w:rsidRPr="001F6256" w:rsidRDefault="000D0275" w:rsidP="00A53E8A">
            <w:pPr>
              <w:pStyle w:val="SOPTableEntr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F6256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7224EB">
              <w:rPr>
                <w:rFonts w:ascii="Arial Narrow" w:hAnsi="Arial Narrow"/>
                <w:sz w:val="22"/>
              </w:rPr>
              <w:t>protocol</w:t>
            </w:r>
            <w:r w:rsidR="007224EB" w:rsidRPr="001F6256">
              <w:rPr>
                <w:rFonts w:ascii="Arial Narrow" w:hAnsi="Arial Narrow"/>
                <w:sz w:val="22"/>
              </w:rPr>
              <w:t xml:space="preserve"> </w:t>
            </w:r>
            <w:r w:rsidRPr="001F6256">
              <w:rPr>
                <w:rFonts w:ascii="Arial Narrow" w:hAnsi="Arial Narrow"/>
                <w:sz w:val="22"/>
                <w:szCs w:val="22"/>
              </w:rPr>
              <w:t>remains active only for long-term follow-up of subjects.</w:t>
            </w:r>
          </w:p>
        </w:tc>
      </w:tr>
      <w:tr w:rsidR="000D0275" w:rsidRPr="001F6256" w:rsidTr="005C064F">
        <w:trPr>
          <w:gridAfter w:val="1"/>
          <w:wAfter w:w="7" w:type="dxa"/>
          <w:trHeight w:val="395"/>
        </w:trPr>
        <w:tc>
          <w:tcPr>
            <w:tcW w:w="10303" w:type="dxa"/>
            <w:gridSpan w:val="9"/>
            <w:shd w:val="clear" w:color="auto" w:fill="000000"/>
            <w:vAlign w:val="center"/>
          </w:tcPr>
          <w:p w:rsidR="000D0275" w:rsidRPr="001F6256" w:rsidRDefault="000D0275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0A1565" w:rsidRPr="00BA3AAF" w:rsidTr="005C064F">
        <w:trPr>
          <w:gridAfter w:val="1"/>
          <w:wAfter w:w="7" w:type="dxa"/>
          <w:trHeight w:val="2942"/>
        </w:trPr>
        <w:tc>
          <w:tcPr>
            <w:tcW w:w="10303" w:type="dxa"/>
            <w:gridSpan w:val="9"/>
          </w:tcPr>
          <w:p w:rsidR="000A1565" w:rsidRPr="00BA3AAF" w:rsidRDefault="000A1565" w:rsidP="0008703A">
            <w:pPr>
              <w:numPr>
                <w:ilvl w:val="0"/>
                <w:numId w:val="6"/>
              </w:numPr>
              <w:tabs>
                <w:tab w:val="clear" w:pos="360"/>
              </w:tabs>
              <w:spacing w:after="60"/>
              <w:ind w:left="187" w:hanging="187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“Immediate Family” means spouse, domestic partner, children, and dependents.</w:t>
            </w:r>
          </w:p>
          <w:p w:rsidR="000A1565" w:rsidRDefault="000A1565" w:rsidP="0008703A">
            <w:pPr>
              <w:numPr>
                <w:ilvl w:val="0"/>
                <w:numId w:val="6"/>
              </w:numPr>
              <w:tabs>
                <w:tab w:val="clear" w:pos="360"/>
              </w:tabs>
              <w:spacing w:after="60"/>
              <w:ind w:left="187" w:hanging="187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“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Related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Financial Interest” means any of the following interests in the sponsor, product or service being tested, or competitor of the sponsor held by the individual or the individual’s immediate family:</w:t>
            </w:r>
          </w:p>
          <w:p w:rsidR="000A1565" w:rsidRPr="00BA3AAF" w:rsidRDefault="000A1565" w:rsidP="0008703A">
            <w:pPr>
              <w:numPr>
                <w:ilvl w:val="1"/>
                <w:numId w:val="6"/>
              </w:numPr>
              <w:tabs>
                <w:tab w:val="clear" w:pos="1080"/>
              </w:tabs>
              <w:spacing w:after="6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Ownership interest of any value including, but not limited to stocks and options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 exclusive of interests in publicly-traded, diversified mutual funds.</w:t>
            </w:r>
          </w:p>
          <w:p w:rsidR="000A1565" w:rsidRDefault="000A1565" w:rsidP="0008703A">
            <w:pPr>
              <w:numPr>
                <w:ilvl w:val="1"/>
                <w:numId w:val="6"/>
              </w:numPr>
              <w:tabs>
                <w:tab w:val="clear" w:pos="1080"/>
              </w:tabs>
              <w:spacing w:after="6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Compensation of any amount including, but not limited to honoraria, consultant fees, royalties, or other income.</w:t>
            </w:r>
          </w:p>
          <w:p w:rsidR="000A1565" w:rsidRPr="00BA3AAF" w:rsidRDefault="000A1565" w:rsidP="0008703A">
            <w:pPr>
              <w:numPr>
                <w:ilvl w:val="1"/>
                <w:numId w:val="6"/>
              </w:numPr>
              <w:tabs>
                <w:tab w:val="clear" w:pos="1080"/>
              </w:tabs>
              <w:spacing w:after="6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Proprietary interest of any value including, but not limited to patents, trademarks, copyrights, and licensing agreements.</w:t>
            </w:r>
          </w:p>
          <w:p w:rsidR="000A1565" w:rsidRDefault="000A1565" w:rsidP="0008703A">
            <w:pPr>
              <w:numPr>
                <w:ilvl w:val="1"/>
                <w:numId w:val="6"/>
              </w:numPr>
              <w:tabs>
                <w:tab w:val="clear" w:pos="1080"/>
              </w:tabs>
              <w:spacing w:after="60"/>
              <w:ind w:left="367" w:hanging="180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Board or executive relationship, regardless of compensation.</w:t>
            </w:r>
          </w:p>
          <w:p w:rsidR="000A1565" w:rsidRPr="00BA3AAF" w:rsidRDefault="000A1565" w:rsidP="0008703A">
            <w:pPr>
              <w:numPr>
                <w:ilvl w:val="1"/>
                <w:numId w:val="6"/>
              </w:numPr>
              <w:tabs>
                <w:tab w:val="clear" w:pos="1080"/>
              </w:tabs>
              <w:spacing w:after="60"/>
              <w:ind w:left="374" w:hanging="187"/>
              <w:rPr>
                <w:rFonts w:ascii="Arial Narrow" w:hAnsi="Arial Narrow" w:cs="Arial"/>
                <w:sz w:val="22"/>
                <w:szCs w:val="22"/>
              </w:rPr>
            </w:pPr>
            <w:r w:rsidRPr="00945B84">
              <w:rPr>
                <w:rFonts w:ascii="Arial Narrow" w:hAnsi="Arial Narrow" w:cs="Arial"/>
                <w:sz w:val="22"/>
                <w:szCs w:val="22"/>
              </w:rPr>
              <w:t>Reimbursed or sponsored travel by an entity other than a federal, state, or local government agency, higher education institution or affiliated research institute, academic teaching hospital, or medical center</w:t>
            </w:r>
            <w:r w:rsidRPr="00154D37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5D4E04" w:rsidRPr="001F6256" w:rsidTr="005C064F">
        <w:trPr>
          <w:gridAfter w:val="1"/>
          <w:wAfter w:w="7" w:type="dxa"/>
          <w:trHeight w:val="665"/>
        </w:trPr>
        <w:tc>
          <w:tcPr>
            <w:tcW w:w="1912" w:type="dxa"/>
            <w:gridSpan w:val="3"/>
            <w:vAlign w:val="center"/>
          </w:tcPr>
          <w:p w:rsidR="005D4E04" w:rsidRPr="00BF22CA" w:rsidRDefault="005D4E04" w:rsidP="00093A07">
            <w:pPr>
              <w:tabs>
                <w:tab w:val="left" w:pos="90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b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 Yes</w:t>
            </w:r>
            <w:r w:rsidRPr="00BF22CA">
              <w:rPr>
                <w:b/>
              </w:rPr>
              <w:tab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b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391" w:type="dxa"/>
            <w:gridSpan w:val="6"/>
            <w:vAlign w:val="center"/>
          </w:tcPr>
          <w:p w:rsidR="005D4E04" w:rsidRPr="001F6256" w:rsidRDefault="005D4E04" w:rsidP="00093A0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22CA">
              <w:rPr>
                <w:rFonts w:ascii="Arial Narrow" w:hAnsi="Arial Narrow" w:cs="Arial"/>
                <w:b/>
                <w:sz w:val="22"/>
                <w:szCs w:val="22"/>
              </w:rPr>
              <w:t>Do any personnel involved in the design, conduct, or reporting of the protocol have a Related Financial Interest?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0152">
              <w:rPr>
                <w:rFonts w:ascii="Arial Narrow" w:hAnsi="Arial Narrow" w:cs="Arial"/>
                <w:sz w:val="22"/>
                <w:szCs w:val="22"/>
              </w:rPr>
              <w:t>If yes, provide the organization’s evaluation of the financial interest</w:t>
            </w:r>
            <w:bookmarkEnd w:id="2"/>
            <w:bookmarkEnd w:id="3"/>
            <w:r w:rsidRPr="00CB015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746EE" w:rsidRPr="001F6256" w:rsidTr="005C064F">
        <w:trPr>
          <w:gridAfter w:val="1"/>
          <w:wAfter w:w="7" w:type="dxa"/>
        </w:trPr>
        <w:tc>
          <w:tcPr>
            <w:tcW w:w="985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8746EE" w:rsidRPr="005D4E04" w:rsidRDefault="00A53571" w:rsidP="00A53571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E04">
              <w:rPr>
                <w:rFonts w:ascii="Arial" w:hAnsi="Arial" w:cs="Arial"/>
                <w:b/>
                <w:sz w:val="20"/>
                <w:szCs w:val="20"/>
              </w:rPr>
              <w:lastRenderedPageBreak/>
              <w:t>Check if true</w:t>
            </w:r>
          </w:p>
        </w:tc>
        <w:tc>
          <w:tcPr>
            <w:tcW w:w="9318" w:type="dxa"/>
            <w:gridSpan w:val="7"/>
            <w:tcBorders>
              <w:left w:val="nil"/>
            </w:tcBorders>
            <w:shd w:val="clear" w:color="auto" w:fill="000000"/>
            <w:vAlign w:val="center"/>
          </w:tcPr>
          <w:p w:rsidR="008746EE" w:rsidRPr="001F6256" w:rsidRDefault="00A53571" w:rsidP="00A535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Relative to</w:t>
            </w:r>
            <w:r w:rsidR="008746EE" w:rsidRPr="001F6256">
              <w:rPr>
                <w:rFonts w:ascii="Arial" w:hAnsi="Arial" w:cs="Arial"/>
                <w:b/>
                <w:sz w:val="22"/>
                <w:szCs w:val="22"/>
              </w:rPr>
              <w:t xml:space="preserve"> all</w:t>
            </w:r>
            <w:r w:rsidR="008746EE">
              <w:rPr>
                <w:rFonts w:ascii="Arial" w:hAnsi="Arial" w:cs="Arial"/>
                <w:b/>
                <w:sz w:val="22"/>
                <w:szCs w:val="22"/>
              </w:rPr>
              <w:t xml:space="preserve"> sites involved in the protocol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since the last </w:t>
            </w:r>
            <w:r w:rsidR="00EC146D">
              <w:rPr>
                <w:rFonts w:ascii="Arial" w:hAnsi="Arial" w:cs="Arial"/>
                <w:b/>
                <w:sz w:val="22"/>
                <w:szCs w:val="22"/>
              </w:rPr>
              <w:t>IRB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continuing review:</w:t>
            </w:r>
          </w:p>
        </w:tc>
      </w:tr>
      <w:tr w:rsidR="008746EE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8746EE" w:rsidRPr="001F6256" w:rsidRDefault="008746EE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8746EE" w:rsidRPr="001F6256" w:rsidRDefault="00A53571" w:rsidP="00937824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 w:rsidR="008746EE">
              <w:rPr>
                <w:rFonts w:ascii="Arial Narrow" w:hAnsi="Arial Narrow" w:cs="Arial"/>
                <w:sz w:val="22"/>
                <w:szCs w:val="22"/>
              </w:rPr>
              <w:t xml:space="preserve">have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 xml:space="preserve">experienced </w:t>
            </w:r>
            <w:r w:rsidR="00937824">
              <w:rPr>
                <w:rFonts w:ascii="Arial Narrow" w:hAnsi="Arial Narrow" w:cs="Arial"/>
                <w:sz w:val="22"/>
                <w:szCs w:val="22"/>
              </w:rPr>
              <w:t xml:space="preserve">unexpected </w:t>
            </w:r>
            <w:r w:rsidR="008746EE" w:rsidRPr="001F6256">
              <w:rPr>
                <w:rFonts w:ascii="Arial Narrow" w:hAnsi="Arial Narrow" w:cs="Arial"/>
                <w:sz w:val="22"/>
                <w:szCs w:val="22"/>
              </w:rPr>
              <w:t>harm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37824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937824" w:rsidRPr="001F6256" w:rsidRDefault="00937824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3782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8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93782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937824" w:rsidRDefault="00937824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Anticipated Adverse Events have NOT taken place with greater frequency or severity than expected.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EF2C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ubjects </w:t>
            </w:r>
            <w:r>
              <w:rPr>
                <w:rFonts w:ascii="Arial Narrow" w:hAnsi="Arial Narrow" w:cs="Arial"/>
                <w:sz w:val="22"/>
                <w:szCs w:val="22"/>
              </w:rPr>
              <w:t>have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withdrawn from the protocol.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EF2C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unanticipated problems involving risks to </w:t>
            </w:r>
            <w:r>
              <w:rPr>
                <w:rFonts w:ascii="Arial Narrow" w:hAnsi="Arial Narrow" w:cs="Arial"/>
                <w:sz w:val="22"/>
                <w:szCs w:val="22"/>
              </w:rPr>
              <w:t>subjects or others.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complaints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about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2571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publications in the literature relevant to risks or potential benefits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8746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interim findings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8735B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have been NO one or more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multi-center trial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vAlign w:val="center"/>
          </w:tcPr>
          <w:p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data safety monitoring reports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A6F24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modifications to the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="004D433B">
              <w:rPr>
                <w:rFonts w:ascii="Arial Narrow" w:hAnsi="Arial Narrow" w:cs="Arial"/>
                <w:sz w:val="22"/>
                <w:szCs w:val="22"/>
              </w:rPr>
              <w:t>, including the addition of new investigators,</w:t>
            </w:r>
            <w:r w:rsidR="00CE031A">
              <w:rPr>
                <w:rFonts w:ascii="Arial Narrow" w:hAnsi="Arial Narrow" w:cs="Arial"/>
                <w:sz w:val="22"/>
                <w:szCs w:val="22"/>
              </w:rPr>
              <w:t xml:space="preserve"> that have not been submitted to and approved by the </w:t>
            </w:r>
            <w:r w:rsidR="00EC146D">
              <w:rPr>
                <w:rFonts w:ascii="Arial Narrow" w:hAnsi="Arial Narrow" w:cs="Arial"/>
                <w:sz w:val="22"/>
                <w:szCs w:val="22"/>
              </w:rPr>
              <w:t>IRB</w:t>
            </w:r>
            <w:r w:rsidR="00055CE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EF2C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EF2C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There have been NO </w:t>
            </w:r>
            <w:r w:rsidRPr="00141D16">
              <w:rPr>
                <w:rFonts w:ascii="Arial Narrow" w:hAnsi="Arial Narrow" w:cs="Arial"/>
                <w:sz w:val="22"/>
                <w:szCs w:val="22"/>
              </w:rPr>
              <w:t>regulatory actions that could affect safety and risk assessments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EF2C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AC427F">
            <w:pPr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There ha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been NO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other relevant information regarding this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C427F">
              <w:rPr>
                <w:rFonts w:ascii="Arial Narrow" w:hAnsi="Arial Narrow" w:cs="Arial"/>
                <w:sz w:val="22"/>
                <w:szCs w:val="22"/>
              </w:rPr>
              <w:t>such as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information about risks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EF2C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A6F24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>In the opinion of the principal investigator,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the risks or potential benefits </w:t>
            </w:r>
            <w:r>
              <w:rPr>
                <w:rFonts w:ascii="Arial Narrow" w:hAnsi="Arial Narrow" w:cs="Arial"/>
                <w:sz w:val="22"/>
                <w:szCs w:val="22"/>
              </w:rPr>
              <w:t>are un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changed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8735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17E5C">
              <w:rPr>
                <w:rFonts w:ascii="Arial Narrow" w:hAnsi="Arial Narrow" w:cs="Arial"/>
                <w:sz w:val="22"/>
                <w:szCs w:val="22"/>
              </w:rPr>
            </w:r>
            <w:r w:rsidR="00117E5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1" w:rsidRPr="001F6256" w:rsidRDefault="00A53571" w:rsidP="00A535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All problems that require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prompt reporting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to the </w:t>
            </w:r>
            <w:r w:rsidR="00EC146D">
              <w:rPr>
                <w:rFonts w:ascii="Arial Narrow" w:hAnsi="Arial Narrow" w:cs="Arial"/>
                <w:sz w:val="22"/>
                <w:szCs w:val="22"/>
              </w:rPr>
              <w:t>IRB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 have been submitted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A53571" w:rsidRPr="001F6256" w:rsidTr="005C064F">
        <w:trPr>
          <w:gridAfter w:val="1"/>
          <w:wAfter w:w="7" w:type="dxa"/>
          <w:trHeight w:val="440"/>
        </w:trPr>
        <w:tc>
          <w:tcPr>
            <w:tcW w:w="10303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A53571" w:rsidRPr="00F36B6E" w:rsidRDefault="00A53571" w:rsidP="00A5357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6B6E">
              <w:rPr>
                <w:rFonts w:ascii="Arial Narrow" w:hAnsi="Arial Narrow"/>
                <w:b/>
                <w:bCs/>
                <w:sz w:val="22"/>
              </w:rPr>
              <w:t>Attach a summary explanation or description for each unchecked statement.</w:t>
            </w:r>
          </w:p>
        </w:tc>
      </w:tr>
      <w:tr w:rsidR="00614D70" w:rsidRPr="001F6256" w:rsidTr="005C064F">
        <w:trPr>
          <w:gridAfter w:val="1"/>
          <w:wAfter w:w="7" w:type="dxa"/>
          <w:trHeight w:val="2682"/>
        </w:trPr>
        <w:tc>
          <w:tcPr>
            <w:tcW w:w="10303" w:type="dxa"/>
            <w:gridSpan w:val="9"/>
            <w:tcBorders>
              <w:top w:val="thinThickSmallGap" w:sz="24" w:space="0" w:color="auto"/>
            </w:tcBorders>
          </w:tcPr>
          <w:p w:rsidR="00614D70" w:rsidRDefault="00614D70" w:rsidP="00614D70">
            <w:pPr>
              <w:spacing w:before="12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Provide a b</w:t>
            </w:r>
            <w:r w:rsidRPr="001C0211">
              <w:rPr>
                <w:rFonts w:ascii="Arial Narrow" w:hAnsi="Arial Narrow" w:cs="Arial"/>
                <w:b/>
                <w:sz w:val="22"/>
                <w:szCs w:val="22"/>
              </w:rPr>
              <w:t xml:space="preserve">rief summary of the progress of the protocol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</w:p>
          <w:p w:rsidR="00614D70" w:rsidRPr="00F674E1" w:rsidRDefault="00614D70" w:rsidP="00614D70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F674E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674E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674E1">
              <w:rPr>
                <w:rFonts w:ascii="Arial Narrow" w:hAnsi="Arial Narrow" w:cs="Arial"/>
                <w:sz w:val="22"/>
                <w:szCs w:val="22"/>
              </w:rPr>
            </w:r>
            <w:r w:rsidRPr="00F674E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4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674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674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674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674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674E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53571" w:rsidRPr="001F6256" w:rsidTr="005C064F">
        <w:trPr>
          <w:gridAfter w:val="1"/>
          <w:wAfter w:w="7" w:type="dxa"/>
          <w:trHeight w:val="1790"/>
        </w:trPr>
        <w:tc>
          <w:tcPr>
            <w:tcW w:w="10303" w:type="dxa"/>
            <w:gridSpan w:val="9"/>
            <w:tcBorders>
              <w:top w:val="single" w:sz="4" w:space="0" w:color="auto"/>
            </w:tcBorders>
            <w:vAlign w:val="center"/>
          </w:tcPr>
          <w:p w:rsidR="00A53571" w:rsidRPr="00FF2A7B" w:rsidRDefault="00614D70" w:rsidP="005C4A9F">
            <w:pPr>
              <w:spacing w:before="12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2A7B">
              <w:rPr>
                <w:rFonts w:ascii="Arial Narrow" w:hAnsi="Arial Narrow" w:cs="Arial"/>
                <w:b/>
                <w:sz w:val="22"/>
                <w:szCs w:val="22"/>
              </w:rPr>
              <w:t>Include</w:t>
            </w:r>
            <w:r w:rsidR="00A53571" w:rsidRPr="00FF2A7B">
              <w:rPr>
                <w:rFonts w:ascii="Arial Narrow" w:hAnsi="Arial Narrow" w:cs="Arial"/>
                <w:b/>
                <w:sz w:val="22"/>
                <w:szCs w:val="22"/>
              </w:rPr>
              <w:t xml:space="preserve"> the following documents</w:t>
            </w:r>
            <w:r w:rsidR="001C0211" w:rsidRPr="00FF2A7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F2A7B" w:rsidRPr="00FF2A7B">
              <w:rPr>
                <w:rFonts w:ascii="Arial Narrow" w:hAnsi="Arial Narrow"/>
                <w:b/>
                <w:sz w:val="22"/>
                <w:szCs w:val="22"/>
              </w:rPr>
              <w:t xml:space="preserve">in your submission </w:t>
            </w:r>
            <w:r w:rsidR="001C0211" w:rsidRPr="00FF2A7B">
              <w:rPr>
                <w:rFonts w:ascii="Arial Narrow" w:hAnsi="Arial Narrow" w:cs="Arial"/>
                <w:b/>
                <w:sz w:val="22"/>
                <w:szCs w:val="22"/>
              </w:rPr>
              <w:t>when they exist or are applicable:</w:t>
            </w:r>
          </w:p>
          <w:p w:rsidR="001C0211" w:rsidRPr="00FF2A7B" w:rsidRDefault="005C4A9F" w:rsidP="00F36B6E">
            <w:pPr>
              <w:numPr>
                <w:ilvl w:val="0"/>
                <w:numId w:val="16"/>
              </w:numPr>
              <w:spacing w:after="60"/>
              <w:ind w:left="695" w:hanging="27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F2A7B">
              <w:rPr>
                <w:rFonts w:ascii="Arial Narrow" w:hAnsi="Arial Narrow"/>
                <w:sz w:val="22"/>
                <w:szCs w:val="22"/>
              </w:rPr>
              <w:t xml:space="preserve">Clean copies of all </w:t>
            </w:r>
            <w:r w:rsidR="001C0211" w:rsidRPr="00FF2A7B">
              <w:rPr>
                <w:rFonts w:ascii="Arial Narrow" w:hAnsi="Arial Narrow"/>
                <w:sz w:val="22"/>
                <w:szCs w:val="22"/>
              </w:rPr>
              <w:t xml:space="preserve">approved </w:t>
            </w:r>
            <w:r w:rsidRPr="00FF2A7B">
              <w:rPr>
                <w:rFonts w:ascii="Arial Narrow" w:hAnsi="Arial Narrow"/>
                <w:sz w:val="22"/>
                <w:szCs w:val="22"/>
              </w:rPr>
              <w:t xml:space="preserve">consent documents </w:t>
            </w:r>
            <w:r w:rsidR="001C0211" w:rsidRPr="00FF2A7B">
              <w:rPr>
                <w:rFonts w:ascii="Arial Narrow" w:hAnsi="Arial Narrow" w:cs="Arial"/>
                <w:i/>
                <w:sz w:val="22"/>
                <w:szCs w:val="22"/>
              </w:rPr>
              <w:t>(provide in MS Word format)</w:t>
            </w:r>
            <w:r w:rsidR="001C0211" w:rsidRPr="00FF2A7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5C4A9F" w:rsidRPr="00FF2A7B" w:rsidRDefault="001C0211" w:rsidP="00F36B6E">
            <w:pPr>
              <w:numPr>
                <w:ilvl w:val="1"/>
                <w:numId w:val="16"/>
              </w:numPr>
              <w:spacing w:after="60"/>
              <w:ind w:left="965" w:hanging="27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F2A7B">
              <w:rPr>
                <w:rFonts w:ascii="Arial Narrow" w:hAnsi="Arial Narrow"/>
                <w:sz w:val="22"/>
                <w:szCs w:val="22"/>
              </w:rPr>
              <w:t xml:space="preserve">Note: Consent documents are </w:t>
            </w:r>
            <w:r w:rsidR="005C4A9F" w:rsidRPr="00FF2A7B">
              <w:rPr>
                <w:rFonts w:ascii="Arial Narrow" w:hAnsi="Arial Narrow"/>
                <w:sz w:val="22"/>
                <w:szCs w:val="22"/>
              </w:rPr>
              <w:t>N</w:t>
            </w:r>
            <w:r w:rsidRPr="00FF2A7B">
              <w:rPr>
                <w:rFonts w:ascii="Arial Narrow" w:hAnsi="Arial Narrow"/>
                <w:sz w:val="22"/>
                <w:szCs w:val="22"/>
              </w:rPr>
              <w:t>OT</w:t>
            </w:r>
            <w:r w:rsidR="005C4A9F" w:rsidRPr="00FF2A7B">
              <w:rPr>
                <w:rFonts w:ascii="Arial Narrow" w:hAnsi="Arial Narrow"/>
                <w:sz w:val="22"/>
                <w:szCs w:val="22"/>
              </w:rPr>
              <w:t xml:space="preserve"> required if protocol is permanently closed to enrollment.</w:t>
            </w:r>
          </w:p>
          <w:p w:rsidR="00A53571" w:rsidRPr="00FF2A7B" w:rsidRDefault="00A53571" w:rsidP="00F36B6E">
            <w:pPr>
              <w:numPr>
                <w:ilvl w:val="0"/>
                <w:numId w:val="16"/>
              </w:numPr>
              <w:spacing w:after="60"/>
              <w:ind w:left="695" w:hanging="270"/>
              <w:rPr>
                <w:rFonts w:ascii="Arial Narrow" w:hAnsi="Arial Narrow"/>
                <w:sz w:val="22"/>
                <w:szCs w:val="22"/>
              </w:rPr>
            </w:pPr>
            <w:r w:rsidRPr="00FF2A7B">
              <w:rPr>
                <w:rFonts w:ascii="Arial Narrow" w:hAnsi="Arial Narrow"/>
                <w:sz w:val="22"/>
                <w:szCs w:val="22"/>
              </w:rPr>
              <w:t xml:space="preserve">Explanation of any </w:t>
            </w:r>
            <w:r w:rsidR="00704478" w:rsidRPr="00FF2A7B">
              <w:rPr>
                <w:rFonts w:ascii="Arial Narrow" w:hAnsi="Arial Narrow"/>
                <w:sz w:val="22"/>
                <w:szCs w:val="22"/>
              </w:rPr>
              <w:t>unchecked</w:t>
            </w:r>
            <w:r w:rsidRPr="00FF2A7B">
              <w:rPr>
                <w:rFonts w:ascii="Arial Narrow" w:hAnsi="Arial Narrow"/>
                <w:sz w:val="22"/>
                <w:szCs w:val="22"/>
              </w:rPr>
              <w:t xml:space="preserve"> resp</w:t>
            </w:r>
            <w:r w:rsidR="00704478" w:rsidRPr="00FF2A7B">
              <w:rPr>
                <w:rFonts w:ascii="Arial Narrow" w:hAnsi="Arial Narrow"/>
                <w:sz w:val="22"/>
                <w:szCs w:val="22"/>
              </w:rPr>
              <w:t>onses to items in above section</w:t>
            </w:r>
          </w:p>
          <w:p w:rsidR="00704478" w:rsidRPr="00FF2A7B" w:rsidRDefault="00704478" w:rsidP="00F36B6E">
            <w:pPr>
              <w:numPr>
                <w:ilvl w:val="0"/>
                <w:numId w:val="17"/>
              </w:numPr>
              <w:spacing w:after="60"/>
              <w:ind w:left="695" w:hanging="270"/>
              <w:rPr>
                <w:rFonts w:ascii="Arial Narrow" w:hAnsi="Arial Narrow"/>
                <w:sz w:val="22"/>
                <w:szCs w:val="22"/>
              </w:rPr>
            </w:pPr>
            <w:r w:rsidRPr="00FF2A7B">
              <w:rPr>
                <w:rFonts w:ascii="Arial Narrow" w:hAnsi="Arial Narrow"/>
                <w:sz w:val="22"/>
                <w:szCs w:val="22"/>
              </w:rPr>
              <w:t>Evaluation of any Related Financial Interest.</w:t>
            </w:r>
          </w:p>
          <w:p w:rsidR="00A53571" w:rsidRPr="00FF2A7B" w:rsidRDefault="00A53571" w:rsidP="00F36B6E">
            <w:pPr>
              <w:numPr>
                <w:ilvl w:val="0"/>
                <w:numId w:val="16"/>
              </w:numPr>
              <w:spacing w:after="120"/>
              <w:ind w:left="695" w:hanging="27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F2A7B">
              <w:rPr>
                <w:rFonts w:ascii="Arial Narrow" w:hAnsi="Arial Narrow"/>
                <w:sz w:val="22"/>
                <w:szCs w:val="22"/>
              </w:rPr>
              <w:t>Copy of sponsor’s progress report or annual report</w:t>
            </w:r>
          </w:p>
        </w:tc>
      </w:tr>
      <w:tr w:rsidR="0039092F" w:rsidRPr="00BA3AAF" w:rsidTr="005C064F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10"/>
            <w:shd w:val="clear" w:color="auto" w:fill="000000"/>
            <w:vAlign w:val="center"/>
          </w:tcPr>
          <w:p w:rsidR="0039092F" w:rsidRPr="00BA3AAF" w:rsidRDefault="0039092F" w:rsidP="00280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Principal 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39092F" w:rsidRPr="00BA3AAF" w:rsidTr="005C064F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310" w:type="dxa"/>
            <w:gridSpan w:val="10"/>
            <w:vAlign w:val="center"/>
          </w:tcPr>
          <w:p w:rsidR="0039092F" w:rsidRPr="00E50910" w:rsidRDefault="0039092F" w:rsidP="00280CA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0910">
              <w:rPr>
                <w:rFonts w:ascii="Arial Narrow" w:hAnsi="Arial Narrow" w:cs="Arial"/>
                <w:b/>
                <w:sz w:val="22"/>
                <w:szCs w:val="22"/>
              </w:rPr>
              <w:t>I will conduct this protocol in accordance with requirements in the INVESTIGATOR MANUAL (HRP-103).</w:t>
            </w:r>
          </w:p>
        </w:tc>
      </w:tr>
      <w:tr w:rsidR="0039092F" w:rsidRPr="00BA3AAF" w:rsidTr="005C064F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7290" w:type="dxa"/>
            <w:gridSpan w:val="8"/>
            <w:vAlign w:val="center"/>
          </w:tcPr>
          <w:p w:rsidR="0039092F" w:rsidRPr="00BA3AAF" w:rsidRDefault="0039092F" w:rsidP="00280C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Principal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Investigator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or typed name)</w:t>
            </w:r>
          </w:p>
        </w:tc>
        <w:tc>
          <w:tcPr>
            <w:tcW w:w="3020" w:type="dxa"/>
            <w:gridSpan w:val="2"/>
            <w:vAlign w:val="center"/>
          </w:tcPr>
          <w:p w:rsidR="0039092F" w:rsidRPr="00BA3AAF" w:rsidRDefault="0039092F" w:rsidP="00280C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A53571" w:rsidRPr="009E7068" w:rsidTr="005C064F">
        <w:tblPrEx>
          <w:tblCellMar>
            <w:left w:w="108" w:type="dxa"/>
            <w:right w:w="108" w:type="dxa"/>
          </w:tblCellMar>
        </w:tblPrEx>
        <w:trPr>
          <w:trHeight w:hRule="exact" w:val="550"/>
        </w:trPr>
        <w:tc>
          <w:tcPr>
            <w:tcW w:w="7290" w:type="dxa"/>
            <w:gridSpan w:val="8"/>
            <w:vAlign w:val="center"/>
          </w:tcPr>
          <w:p w:rsidR="00A53571" w:rsidRPr="001F6256" w:rsidRDefault="00A53571" w:rsidP="00914D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gridSpan w:val="2"/>
            <w:vAlign w:val="center"/>
          </w:tcPr>
          <w:p w:rsidR="00A53571" w:rsidRPr="009E7068" w:rsidRDefault="00A53571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A62D7" w:rsidRPr="009E7068" w:rsidRDefault="000A62D7" w:rsidP="008735BA"/>
    <w:sectPr w:rsidR="000A62D7" w:rsidRPr="009E7068" w:rsidSect="001A6F2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5C" w:rsidRDefault="00117E5C">
      <w:r>
        <w:separator/>
      </w:r>
    </w:p>
  </w:endnote>
  <w:endnote w:type="continuationSeparator" w:id="0">
    <w:p w:rsidR="00117E5C" w:rsidRDefault="001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8C" w:rsidRPr="00C27C95" w:rsidRDefault="00117E5C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hyperlink w:history="1"/>
    <w:r w:rsidR="00391A7C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5C" w:rsidRDefault="00117E5C">
      <w:r>
        <w:separator/>
      </w:r>
    </w:p>
  </w:footnote>
  <w:footnote w:type="continuationSeparator" w:id="0">
    <w:p w:rsidR="00117E5C" w:rsidRDefault="00117E5C">
      <w:r>
        <w:continuationSeparator/>
      </w:r>
    </w:p>
  </w:footnote>
  <w:footnote w:id="1">
    <w:p w:rsidR="00AB39CC" w:rsidRDefault="00AB39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1565">
        <w:t>T</w:t>
      </w:r>
      <w:r>
        <w:t>his refers to the status of the protocol under the supervision of the investigator, not the status of the protocol at all centers.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6520A8" w:rsidRPr="006520A8" w:rsidTr="00444952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520A8" w:rsidRPr="006520A8" w:rsidRDefault="00EC146D" w:rsidP="00444952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6E209246" wp14:editId="72986E27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6520A8" w:rsidRPr="006520A8" w:rsidRDefault="006520A8" w:rsidP="0044495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520A8" w:rsidRPr="006520A8" w:rsidTr="00444952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6520A8" w:rsidRDefault="006520A8" w:rsidP="00444952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EA6348" w:rsidRDefault="001F6DE4" w:rsidP="0044495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FORM: Continuing Review</w:t>
          </w:r>
        </w:p>
      </w:tc>
    </w:tr>
    <w:tr w:rsidR="006520A8" w:rsidRPr="006520A8" w:rsidTr="00444952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985449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6520A8" w:rsidRDefault="006520A8" w:rsidP="0044495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520A8" w:rsidRPr="006520A8" w:rsidTr="00444952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:rsidR="006520A8" w:rsidRDefault="006520A8" w:rsidP="00444952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985449" w:rsidRDefault="006520A8" w:rsidP="00444952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212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6520A8" w:rsidRDefault="001B0F52" w:rsidP="007238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01/</w:t>
          </w:r>
          <w:r w:rsidR="007238DA">
            <w:rPr>
              <w:rFonts w:ascii="Arial" w:hAnsi="Arial" w:cs="Arial"/>
              <w:noProof/>
            </w:rPr>
            <w:t>19</w:t>
          </w:r>
          <w:r>
            <w:rPr>
              <w:rFonts w:ascii="Arial" w:hAnsi="Arial" w:cs="Arial"/>
              <w:noProof/>
            </w:rPr>
            <w:t>/2015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520A8" w:rsidRPr="006520A8" w:rsidRDefault="006520A8" w:rsidP="00444952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7238DA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7238DA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B147B5" w:rsidRPr="006B7F86" w:rsidRDefault="00B147B5" w:rsidP="003F53A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30C6"/>
    <w:multiLevelType w:val="hybridMultilevel"/>
    <w:tmpl w:val="982C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57F07"/>
    <w:multiLevelType w:val="hybridMultilevel"/>
    <w:tmpl w:val="20C6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1653"/>
    <w:multiLevelType w:val="hybridMultilevel"/>
    <w:tmpl w:val="EEF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7113D7"/>
    <w:multiLevelType w:val="hybridMultilevel"/>
    <w:tmpl w:val="AB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12BEF"/>
    <w:rsid w:val="00014A4A"/>
    <w:rsid w:val="00052C38"/>
    <w:rsid w:val="00053DF8"/>
    <w:rsid w:val="00055CE0"/>
    <w:rsid w:val="00067CB2"/>
    <w:rsid w:val="000829EC"/>
    <w:rsid w:val="0008703A"/>
    <w:rsid w:val="00087470"/>
    <w:rsid w:val="000A1565"/>
    <w:rsid w:val="000A62D7"/>
    <w:rsid w:val="000C031E"/>
    <w:rsid w:val="000D0275"/>
    <w:rsid w:val="000E0742"/>
    <w:rsid w:val="000E0F5B"/>
    <w:rsid w:val="000E417B"/>
    <w:rsid w:val="000F0827"/>
    <w:rsid w:val="000F169C"/>
    <w:rsid w:val="000F77A0"/>
    <w:rsid w:val="00100095"/>
    <w:rsid w:val="00106C1D"/>
    <w:rsid w:val="00110B22"/>
    <w:rsid w:val="00116363"/>
    <w:rsid w:val="00117E5C"/>
    <w:rsid w:val="001364A3"/>
    <w:rsid w:val="00140C1A"/>
    <w:rsid w:val="00141D16"/>
    <w:rsid w:val="0014643E"/>
    <w:rsid w:val="00147FAD"/>
    <w:rsid w:val="00151095"/>
    <w:rsid w:val="00176DC6"/>
    <w:rsid w:val="0017736A"/>
    <w:rsid w:val="0018160C"/>
    <w:rsid w:val="00182596"/>
    <w:rsid w:val="00190FEF"/>
    <w:rsid w:val="00192BD8"/>
    <w:rsid w:val="001A42D7"/>
    <w:rsid w:val="001A58EB"/>
    <w:rsid w:val="001A6F24"/>
    <w:rsid w:val="001B0F52"/>
    <w:rsid w:val="001B56EF"/>
    <w:rsid w:val="001C0211"/>
    <w:rsid w:val="001C4DF1"/>
    <w:rsid w:val="001C5535"/>
    <w:rsid w:val="001D71DC"/>
    <w:rsid w:val="001E0045"/>
    <w:rsid w:val="001E294A"/>
    <w:rsid w:val="001F130A"/>
    <w:rsid w:val="001F15C1"/>
    <w:rsid w:val="001F1CC5"/>
    <w:rsid w:val="001F6256"/>
    <w:rsid w:val="001F6DE4"/>
    <w:rsid w:val="00245D46"/>
    <w:rsid w:val="002531F6"/>
    <w:rsid w:val="0025711B"/>
    <w:rsid w:val="002624B8"/>
    <w:rsid w:val="00271ACC"/>
    <w:rsid w:val="0027439C"/>
    <w:rsid w:val="0028716A"/>
    <w:rsid w:val="0029131C"/>
    <w:rsid w:val="0029140F"/>
    <w:rsid w:val="002921D0"/>
    <w:rsid w:val="002A06DF"/>
    <w:rsid w:val="002A77D7"/>
    <w:rsid w:val="002B4435"/>
    <w:rsid w:val="002E0C48"/>
    <w:rsid w:val="002F0223"/>
    <w:rsid w:val="003031BE"/>
    <w:rsid w:val="0030515C"/>
    <w:rsid w:val="003063E9"/>
    <w:rsid w:val="003131DC"/>
    <w:rsid w:val="00317215"/>
    <w:rsid w:val="00327391"/>
    <w:rsid w:val="00334739"/>
    <w:rsid w:val="00375482"/>
    <w:rsid w:val="003763ED"/>
    <w:rsid w:val="0039092F"/>
    <w:rsid w:val="00391A7C"/>
    <w:rsid w:val="003B3FC5"/>
    <w:rsid w:val="003C57BB"/>
    <w:rsid w:val="003C6A82"/>
    <w:rsid w:val="003C71D2"/>
    <w:rsid w:val="003D0CC5"/>
    <w:rsid w:val="003F53A1"/>
    <w:rsid w:val="00400FA6"/>
    <w:rsid w:val="004129E4"/>
    <w:rsid w:val="00420E5B"/>
    <w:rsid w:val="00421A10"/>
    <w:rsid w:val="004308AC"/>
    <w:rsid w:val="00441B29"/>
    <w:rsid w:val="004434D6"/>
    <w:rsid w:val="0044368C"/>
    <w:rsid w:val="0044448B"/>
    <w:rsid w:val="00444952"/>
    <w:rsid w:val="0044573C"/>
    <w:rsid w:val="00447176"/>
    <w:rsid w:val="00476F07"/>
    <w:rsid w:val="004A59CB"/>
    <w:rsid w:val="004A7E29"/>
    <w:rsid w:val="004C13FD"/>
    <w:rsid w:val="004C6FFC"/>
    <w:rsid w:val="004D433B"/>
    <w:rsid w:val="004D5638"/>
    <w:rsid w:val="004D603C"/>
    <w:rsid w:val="004E19C8"/>
    <w:rsid w:val="004F24AD"/>
    <w:rsid w:val="0050560B"/>
    <w:rsid w:val="0051579E"/>
    <w:rsid w:val="00525BFF"/>
    <w:rsid w:val="005304FB"/>
    <w:rsid w:val="00554120"/>
    <w:rsid w:val="00555F96"/>
    <w:rsid w:val="005632E9"/>
    <w:rsid w:val="005679F4"/>
    <w:rsid w:val="00573C9B"/>
    <w:rsid w:val="00573F15"/>
    <w:rsid w:val="00586305"/>
    <w:rsid w:val="00592174"/>
    <w:rsid w:val="005A0160"/>
    <w:rsid w:val="005B4E90"/>
    <w:rsid w:val="005C064F"/>
    <w:rsid w:val="005C4A9F"/>
    <w:rsid w:val="005C778A"/>
    <w:rsid w:val="005D2695"/>
    <w:rsid w:val="005D350F"/>
    <w:rsid w:val="005D4E04"/>
    <w:rsid w:val="005E312C"/>
    <w:rsid w:val="005E73A2"/>
    <w:rsid w:val="006024BF"/>
    <w:rsid w:val="00614D70"/>
    <w:rsid w:val="00624719"/>
    <w:rsid w:val="00627D49"/>
    <w:rsid w:val="00627E06"/>
    <w:rsid w:val="006402A2"/>
    <w:rsid w:val="00640CB2"/>
    <w:rsid w:val="006520A8"/>
    <w:rsid w:val="00653F08"/>
    <w:rsid w:val="00670C53"/>
    <w:rsid w:val="00674C55"/>
    <w:rsid w:val="0068099D"/>
    <w:rsid w:val="00681761"/>
    <w:rsid w:val="00687C49"/>
    <w:rsid w:val="006B7F86"/>
    <w:rsid w:val="006C455D"/>
    <w:rsid w:val="006D7DF4"/>
    <w:rsid w:val="006E4261"/>
    <w:rsid w:val="006F407C"/>
    <w:rsid w:val="00704478"/>
    <w:rsid w:val="00705901"/>
    <w:rsid w:val="00716890"/>
    <w:rsid w:val="00722329"/>
    <w:rsid w:val="007224EB"/>
    <w:rsid w:val="007238DA"/>
    <w:rsid w:val="0072456D"/>
    <w:rsid w:val="0073281A"/>
    <w:rsid w:val="00737236"/>
    <w:rsid w:val="0075529B"/>
    <w:rsid w:val="007631DB"/>
    <w:rsid w:val="0077270A"/>
    <w:rsid w:val="00773B7E"/>
    <w:rsid w:val="0077442C"/>
    <w:rsid w:val="00776E4B"/>
    <w:rsid w:val="00787D3A"/>
    <w:rsid w:val="007B04D1"/>
    <w:rsid w:val="007B3E47"/>
    <w:rsid w:val="007C3A87"/>
    <w:rsid w:val="007C69A5"/>
    <w:rsid w:val="007D38B6"/>
    <w:rsid w:val="007E06C7"/>
    <w:rsid w:val="007E0B8E"/>
    <w:rsid w:val="007E6047"/>
    <w:rsid w:val="007F085E"/>
    <w:rsid w:val="008052E3"/>
    <w:rsid w:val="00813E40"/>
    <w:rsid w:val="00834298"/>
    <w:rsid w:val="00835D0E"/>
    <w:rsid w:val="00851CE0"/>
    <w:rsid w:val="00853793"/>
    <w:rsid w:val="00857F0E"/>
    <w:rsid w:val="00860409"/>
    <w:rsid w:val="008735BA"/>
    <w:rsid w:val="008746EE"/>
    <w:rsid w:val="00877CC8"/>
    <w:rsid w:val="008853DE"/>
    <w:rsid w:val="00894BD3"/>
    <w:rsid w:val="008B217C"/>
    <w:rsid w:val="008B312F"/>
    <w:rsid w:val="008B792C"/>
    <w:rsid w:val="008C67B8"/>
    <w:rsid w:val="008D0209"/>
    <w:rsid w:val="008D24F7"/>
    <w:rsid w:val="008D25F6"/>
    <w:rsid w:val="008D2DFC"/>
    <w:rsid w:val="008D5DC7"/>
    <w:rsid w:val="008E20CA"/>
    <w:rsid w:val="008E439C"/>
    <w:rsid w:val="008E70BE"/>
    <w:rsid w:val="008E7201"/>
    <w:rsid w:val="009005C2"/>
    <w:rsid w:val="009044FF"/>
    <w:rsid w:val="009067E6"/>
    <w:rsid w:val="00912FE2"/>
    <w:rsid w:val="00914316"/>
    <w:rsid w:val="00914D0B"/>
    <w:rsid w:val="00920ED2"/>
    <w:rsid w:val="00923D8B"/>
    <w:rsid w:val="00930A5E"/>
    <w:rsid w:val="00931648"/>
    <w:rsid w:val="00933449"/>
    <w:rsid w:val="00934435"/>
    <w:rsid w:val="00937824"/>
    <w:rsid w:val="0094281A"/>
    <w:rsid w:val="009445D3"/>
    <w:rsid w:val="00951F83"/>
    <w:rsid w:val="00983552"/>
    <w:rsid w:val="00985AE3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9F6477"/>
    <w:rsid w:val="00A03B00"/>
    <w:rsid w:val="00A10DE0"/>
    <w:rsid w:val="00A117C3"/>
    <w:rsid w:val="00A12438"/>
    <w:rsid w:val="00A203E7"/>
    <w:rsid w:val="00A36475"/>
    <w:rsid w:val="00A53571"/>
    <w:rsid w:val="00A53E8A"/>
    <w:rsid w:val="00A73A04"/>
    <w:rsid w:val="00A815D3"/>
    <w:rsid w:val="00A9472B"/>
    <w:rsid w:val="00AB39CC"/>
    <w:rsid w:val="00AC427F"/>
    <w:rsid w:val="00AD2386"/>
    <w:rsid w:val="00AD2C81"/>
    <w:rsid w:val="00AE191B"/>
    <w:rsid w:val="00AE4BD9"/>
    <w:rsid w:val="00AF1DAB"/>
    <w:rsid w:val="00B11462"/>
    <w:rsid w:val="00B11A0E"/>
    <w:rsid w:val="00B147B5"/>
    <w:rsid w:val="00B33FA5"/>
    <w:rsid w:val="00B34589"/>
    <w:rsid w:val="00B43674"/>
    <w:rsid w:val="00B44614"/>
    <w:rsid w:val="00B527DD"/>
    <w:rsid w:val="00B630B2"/>
    <w:rsid w:val="00B66D6A"/>
    <w:rsid w:val="00B92B8C"/>
    <w:rsid w:val="00BA6836"/>
    <w:rsid w:val="00BA6DA1"/>
    <w:rsid w:val="00BA7959"/>
    <w:rsid w:val="00BB1691"/>
    <w:rsid w:val="00BD0435"/>
    <w:rsid w:val="00BD4988"/>
    <w:rsid w:val="00BE12A7"/>
    <w:rsid w:val="00BE29B7"/>
    <w:rsid w:val="00BF2373"/>
    <w:rsid w:val="00C037C6"/>
    <w:rsid w:val="00C05051"/>
    <w:rsid w:val="00C27959"/>
    <w:rsid w:val="00C27C95"/>
    <w:rsid w:val="00C40597"/>
    <w:rsid w:val="00C458FB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B0152"/>
    <w:rsid w:val="00CB2EB0"/>
    <w:rsid w:val="00CB6044"/>
    <w:rsid w:val="00CC1D08"/>
    <w:rsid w:val="00CC1DA7"/>
    <w:rsid w:val="00CC209E"/>
    <w:rsid w:val="00CC26E7"/>
    <w:rsid w:val="00CC3EA3"/>
    <w:rsid w:val="00CD4BE6"/>
    <w:rsid w:val="00CD7098"/>
    <w:rsid w:val="00CE031A"/>
    <w:rsid w:val="00CE38DF"/>
    <w:rsid w:val="00D0174E"/>
    <w:rsid w:val="00D02F85"/>
    <w:rsid w:val="00D0512E"/>
    <w:rsid w:val="00D07C23"/>
    <w:rsid w:val="00D10F98"/>
    <w:rsid w:val="00D11763"/>
    <w:rsid w:val="00D27259"/>
    <w:rsid w:val="00D30691"/>
    <w:rsid w:val="00D40D41"/>
    <w:rsid w:val="00D45D9D"/>
    <w:rsid w:val="00D51BAF"/>
    <w:rsid w:val="00D5525D"/>
    <w:rsid w:val="00D60F66"/>
    <w:rsid w:val="00D80AE1"/>
    <w:rsid w:val="00D82FE8"/>
    <w:rsid w:val="00DA478A"/>
    <w:rsid w:val="00DB18ED"/>
    <w:rsid w:val="00DB24C6"/>
    <w:rsid w:val="00DB3FF8"/>
    <w:rsid w:val="00DC4861"/>
    <w:rsid w:val="00DC65C6"/>
    <w:rsid w:val="00DC687A"/>
    <w:rsid w:val="00DD02E7"/>
    <w:rsid w:val="00DD03AB"/>
    <w:rsid w:val="00DE019F"/>
    <w:rsid w:val="00DF094F"/>
    <w:rsid w:val="00DF2C78"/>
    <w:rsid w:val="00DF51D3"/>
    <w:rsid w:val="00E00B90"/>
    <w:rsid w:val="00E04CF3"/>
    <w:rsid w:val="00E07DA9"/>
    <w:rsid w:val="00E17F19"/>
    <w:rsid w:val="00E23609"/>
    <w:rsid w:val="00E47630"/>
    <w:rsid w:val="00E71A52"/>
    <w:rsid w:val="00E85E1A"/>
    <w:rsid w:val="00E87CF2"/>
    <w:rsid w:val="00E91FCA"/>
    <w:rsid w:val="00E920E1"/>
    <w:rsid w:val="00EB5E97"/>
    <w:rsid w:val="00EC146D"/>
    <w:rsid w:val="00EC2101"/>
    <w:rsid w:val="00EC72E1"/>
    <w:rsid w:val="00ED580B"/>
    <w:rsid w:val="00ED5B3A"/>
    <w:rsid w:val="00EE2429"/>
    <w:rsid w:val="00EE4DC4"/>
    <w:rsid w:val="00EF0A05"/>
    <w:rsid w:val="00EF26D6"/>
    <w:rsid w:val="00EF2C35"/>
    <w:rsid w:val="00F06282"/>
    <w:rsid w:val="00F16C53"/>
    <w:rsid w:val="00F1710D"/>
    <w:rsid w:val="00F343CC"/>
    <w:rsid w:val="00F36B6E"/>
    <w:rsid w:val="00F47467"/>
    <w:rsid w:val="00F479BE"/>
    <w:rsid w:val="00F674E1"/>
    <w:rsid w:val="00F77867"/>
    <w:rsid w:val="00F82CCC"/>
    <w:rsid w:val="00F841BC"/>
    <w:rsid w:val="00FA32C3"/>
    <w:rsid w:val="00FB1BE9"/>
    <w:rsid w:val="00FB68B2"/>
    <w:rsid w:val="00FB73D5"/>
    <w:rsid w:val="00FC0D91"/>
    <w:rsid w:val="00FD35C2"/>
    <w:rsid w:val="00FD57B8"/>
    <w:rsid w:val="00FD63E1"/>
    <w:rsid w:val="00FE2BEE"/>
    <w:rsid w:val="00FE38F3"/>
    <w:rsid w:val="00FF2A7B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EC2DE0-889C-4B19-9006-EED35D3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B3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39CC"/>
  </w:style>
  <w:style w:type="character" w:styleId="FootnoteReference">
    <w:name w:val="footnote reference"/>
    <w:rsid w:val="00AB39CC"/>
    <w:rPr>
      <w:vertAlign w:val="superscript"/>
    </w:rPr>
  </w:style>
  <w:style w:type="character" w:styleId="CommentReference">
    <w:name w:val="annotation reference"/>
    <w:basedOn w:val="DefaultParagraphFont"/>
    <w:rsid w:val="007E0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7"/>
  </w:style>
  <w:style w:type="paragraph" w:styleId="CommentSubject">
    <w:name w:val="annotation subject"/>
    <w:basedOn w:val="CommentText"/>
    <w:next w:val="CommentText"/>
    <w:link w:val="CommentSubjectChar"/>
    <w:rsid w:val="007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7"/>
    <w:rPr>
      <w:b/>
      <w:bCs/>
    </w:rPr>
  </w:style>
  <w:style w:type="paragraph" w:styleId="ListParagraph">
    <w:name w:val="List Paragraph"/>
    <w:basedOn w:val="Normal"/>
    <w:uiPriority w:val="34"/>
    <w:qFormat/>
    <w:rsid w:val="0070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0455-C21C-4A3A-8698-7FE9FAE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4156</Characters>
  <Application>Microsoft Office Word</Application>
  <DocSecurity>0</DocSecurity>
  <Lines>129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</vt:lpstr>
    </vt:vector>
  </TitlesOfParts>
  <Manager>Huron Consulting Group, Inc.</Manager>
  <Company>Huron Consulting Group, Inc.</Company>
  <LinksUpToDate>false</LinksUpToDate>
  <CharactersWithSpaces>4827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Heathcote, Michael</cp:lastModifiedBy>
  <cp:revision>2</cp:revision>
  <cp:lastPrinted>2010-02-10T19:36:00Z</cp:lastPrinted>
  <dcterms:created xsi:type="dcterms:W3CDTF">2021-08-11T21:05:00Z</dcterms:created>
  <dcterms:modified xsi:type="dcterms:W3CDTF">2021-08-11T21:05:00Z</dcterms:modified>
  <cp:category>FORM</cp:category>
</cp:coreProperties>
</file>