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F553" w14:textId="069BA8E3" w:rsidR="00D46A4A" w:rsidRPr="00D46A4A" w:rsidRDefault="00AF06EB" w:rsidP="00D46A4A">
      <w:pPr>
        <w:contextualSpacing/>
        <w:jc w:val="center"/>
        <w:rPr>
          <w:b/>
          <w:bCs/>
        </w:rPr>
      </w:pPr>
      <w:bookmarkStart w:id="0" w:name="_GoBack"/>
      <w:bookmarkEnd w:id="0"/>
      <w:r>
        <w:rPr>
          <w:b/>
          <w:bCs/>
        </w:rPr>
        <w:t xml:space="preserve">MSU Denver </w:t>
      </w:r>
      <w:r w:rsidR="00284D1C">
        <w:rPr>
          <w:b/>
          <w:bCs/>
        </w:rPr>
        <w:t>Quantitative Literacy</w:t>
      </w:r>
      <w:r w:rsidR="00D46A4A" w:rsidRPr="00D46A4A">
        <w:rPr>
          <w:b/>
          <w:bCs/>
        </w:rPr>
        <w:t xml:space="preserve"> </w:t>
      </w:r>
      <w:r>
        <w:rPr>
          <w:b/>
          <w:bCs/>
        </w:rPr>
        <w:t xml:space="preserve">General Studies </w:t>
      </w:r>
      <w:r w:rsidR="00D46A4A" w:rsidRPr="00D46A4A">
        <w:rPr>
          <w:b/>
          <w:bCs/>
        </w:rPr>
        <w:t>Rubric</w:t>
      </w:r>
    </w:p>
    <w:p w14:paraId="570E7F64" w14:textId="4CE31057" w:rsidR="00AF06EB" w:rsidRPr="00AF06EB" w:rsidRDefault="61190B3A" w:rsidP="61190B3A">
      <w:pPr>
        <w:rPr>
          <w:rFonts w:eastAsia="Times New Roman"/>
          <w:sz w:val="22"/>
          <w:szCs w:val="22"/>
          <w:lang w:eastAsia="en-US"/>
        </w:rPr>
      </w:pPr>
      <w:r w:rsidRPr="61190B3A">
        <w:rPr>
          <w:sz w:val="22"/>
          <w:szCs w:val="22"/>
        </w:rPr>
        <w:t>Description:</w:t>
      </w:r>
      <w:r w:rsidRPr="61190B3A">
        <w:rPr>
          <w:sz w:val="20"/>
          <w:szCs w:val="20"/>
        </w:rPr>
        <w:t xml:space="preserve">  </w:t>
      </w:r>
      <w:r w:rsidRPr="61190B3A">
        <w:rPr>
          <w:rFonts w:ascii="Calibri" w:eastAsia="Calibri" w:hAnsi="Calibri" w:cs="Calibri"/>
          <w:sz w:val="20"/>
          <w:szCs w:val="20"/>
        </w:rPr>
        <w:t>Competency in quantitative literacy represents a student’s ability to use quantifiable information and mathematical analysis to make connections and draw conclusions. The main focus of each Quantitative Literacy course is the use of mathematical techniques and analysis, with problems from a broad spectrum of real-life and abstract settings requiring translation to and from mathematical forms.</w:t>
      </w:r>
    </w:p>
    <w:p w14:paraId="5F74822A" w14:textId="5423BEC0" w:rsidR="61190B3A" w:rsidRDefault="61190B3A" w:rsidP="61190B3A">
      <w:pPr>
        <w:jc w:val="center"/>
        <w:rPr>
          <w:rFonts w:ascii="Times New Roman" w:eastAsia="Times New Roman" w:hAnsi="Times New Roman" w:cs="Times New Roman"/>
          <w:sz w:val="20"/>
          <w:szCs w:val="20"/>
        </w:rPr>
      </w:pPr>
      <w:r w:rsidRPr="61190B3A">
        <w:rPr>
          <w:rFonts w:ascii="Times New Roman" w:eastAsia="Times New Roman" w:hAnsi="Times New Roman" w:cs="Times New Roman"/>
          <w:i/>
          <w:iCs/>
          <w:sz w:val="20"/>
          <w:szCs w:val="20"/>
        </w:rPr>
        <w:t>Evaluators are encouraged to assign a zero to any work, sample, or collection of work that does not meet introductory (1) level performance.</w:t>
      </w:r>
    </w:p>
    <w:p w14:paraId="2CAEBCA6" w14:textId="5E69E886" w:rsidR="00D46A4A" w:rsidRPr="00D46A4A" w:rsidRDefault="00D46A4A" w:rsidP="00676EBC">
      <w:pPr>
        <w:jc w:val="center"/>
        <w:rPr>
          <w:i/>
          <w:iCs/>
          <w:sz w:val="15"/>
          <w:szCs w:val="15"/>
        </w:rPr>
      </w:pPr>
    </w:p>
    <w:tbl>
      <w:tblPr>
        <w:tblW w:w="14040" w:type="dxa"/>
        <w:tblInd w:w="-635" w:type="dxa"/>
        <w:tblLayout w:type="fixed"/>
        <w:tblLook w:val="04A0" w:firstRow="1" w:lastRow="0" w:firstColumn="1" w:lastColumn="0" w:noHBand="0" w:noVBand="1"/>
      </w:tblPr>
      <w:tblGrid>
        <w:gridCol w:w="2605"/>
        <w:gridCol w:w="905"/>
        <w:gridCol w:w="2632"/>
        <w:gridCol w:w="2633"/>
        <w:gridCol w:w="2632"/>
        <w:gridCol w:w="2633"/>
      </w:tblGrid>
      <w:tr w:rsidR="001F0695" w:rsidRPr="00D46A4A" w14:paraId="56B37B72" w14:textId="77777777" w:rsidTr="001F0695">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noWrap/>
            <w:hideMark/>
          </w:tcPr>
          <w:p w14:paraId="4687F330" w14:textId="0559B7AE" w:rsidR="0059636A" w:rsidRPr="00D46A4A" w:rsidRDefault="0059636A" w:rsidP="006930AD">
            <w:pPr>
              <w:jc w:val="center"/>
              <w:rPr>
                <w:rFonts w:ascii="Calibri" w:eastAsia="Times New Roman" w:hAnsi="Calibri" w:cs="Calibri"/>
                <w:b/>
                <w:bCs/>
                <w:color w:val="000000"/>
              </w:rPr>
            </w:pPr>
            <w:r w:rsidRPr="0059636A">
              <w:rPr>
                <w:rFonts w:ascii="Calibri" w:eastAsia="Times New Roman" w:hAnsi="Calibri" w:cs="Calibri"/>
                <w:b/>
                <w:bCs/>
                <w:color w:val="000000"/>
                <w:sz w:val="28"/>
              </w:rPr>
              <w:t>Student Learning Outcome</w:t>
            </w:r>
          </w:p>
        </w:tc>
        <w:tc>
          <w:tcPr>
            <w:tcW w:w="905" w:type="dxa"/>
            <w:tcBorders>
              <w:top w:val="single" w:sz="4" w:space="0" w:color="auto"/>
              <w:left w:val="nil"/>
              <w:bottom w:val="single" w:sz="4" w:space="0" w:color="auto"/>
              <w:right w:val="single" w:sz="4" w:space="0" w:color="auto"/>
            </w:tcBorders>
            <w:shd w:val="clear" w:color="auto" w:fill="auto"/>
            <w:noWrap/>
            <w:hideMark/>
          </w:tcPr>
          <w:p w14:paraId="762F0A95" w14:textId="72F4A712"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0</w:t>
            </w:r>
          </w:p>
        </w:tc>
        <w:tc>
          <w:tcPr>
            <w:tcW w:w="2632" w:type="dxa"/>
            <w:tcBorders>
              <w:top w:val="single" w:sz="4" w:space="0" w:color="auto"/>
              <w:left w:val="nil"/>
              <w:bottom w:val="single" w:sz="4" w:space="0" w:color="auto"/>
              <w:right w:val="single" w:sz="4" w:space="0" w:color="auto"/>
            </w:tcBorders>
          </w:tcPr>
          <w:p w14:paraId="6C681B61" w14:textId="15135874" w:rsidR="0059636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Introductory</w:t>
            </w:r>
          </w:p>
          <w:p w14:paraId="38434ACE" w14:textId="614342D7"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1</w:t>
            </w:r>
          </w:p>
        </w:tc>
        <w:tc>
          <w:tcPr>
            <w:tcW w:w="2633" w:type="dxa"/>
            <w:tcBorders>
              <w:top w:val="single" w:sz="4" w:space="0" w:color="auto"/>
              <w:left w:val="single" w:sz="4" w:space="0" w:color="auto"/>
              <w:bottom w:val="single" w:sz="4" w:space="0" w:color="auto"/>
              <w:right w:val="single" w:sz="4" w:space="0" w:color="auto"/>
            </w:tcBorders>
            <w:shd w:val="clear" w:color="auto" w:fill="auto"/>
            <w:noWrap/>
            <w:hideMark/>
          </w:tcPr>
          <w:p w14:paraId="3B6CF3B0" w14:textId="61D79F8C" w:rsidR="0059636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Developing</w:t>
            </w:r>
          </w:p>
          <w:p w14:paraId="32055DA0" w14:textId="095921A9"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2</w:t>
            </w:r>
          </w:p>
        </w:tc>
        <w:tc>
          <w:tcPr>
            <w:tcW w:w="2632" w:type="dxa"/>
            <w:tcBorders>
              <w:top w:val="single" w:sz="4" w:space="0" w:color="auto"/>
              <w:left w:val="nil"/>
              <w:bottom w:val="single" w:sz="4" w:space="0" w:color="auto"/>
              <w:right w:val="single" w:sz="4" w:space="0" w:color="auto"/>
            </w:tcBorders>
            <w:shd w:val="clear" w:color="auto" w:fill="auto"/>
            <w:noWrap/>
            <w:hideMark/>
          </w:tcPr>
          <w:p w14:paraId="2D3FE195" w14:textId="53B29D20" w:rsidR="0059636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Advancing</w:t>
            </w:r>
          </w:p>
          <w:p w14:paraId="0C1734AD" w14:textId="5DCD6F9E"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3</w:t>
            </w:r>
          </w:p>
        </w:tc>
        <w:tc>
          <w:tcPr>
            <w:tcW w:w="2633" w:type="dxa"/>
            <w:tcBorders>
              <w:top w:val="single" w:sz="4" w:space="0" w:color="auto"/>
              <w:left w:val="nil"/>
              <w:bottom w:val="single" w:sz="4" w:space="0" w:color="auto"/>
              <w:right w:val="single" w:sz="4" w:space="0" w:color="auto"/>
            </w:tcBorders>
            <w:shd w:val="clear" w:color="auto" w:fill="auto"/>
            <w:noWrap/>
            <w:hideMark/>
          </w:tcPr>
          <w:p w14:paraId="3C8D790E" w14:textId="1C884556" w:rsidR="0059636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Capstone</w:t>
            </w:r>
          </w:p>
          <w:p w14:paraId="1F749637" w14:textId="06BDDB29"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4</w:t>
            </w:r>
          </w:p>
        </w:tc>
      </w:tr>
      <w:tr w:rsidR="001F0695" w:rsidRPr="00D46A4A" w14:paraId="375980B3" w14:textId="77777777" w:rsidTr="001F0695">
        <w:trPr>
          <w:trHeight w:val="320"/>
        </w:trPr>
        <w:tc>
          <w:tcPr>
            <w:tcW w:w="2605" w:type="dxa"/>
            <w:tcBorders>
              <w:top w:val="nil"/>
              <w:left w:val="single" w:sz="4" w:space="0" w:color="auto"/>
              <w:bottom w:val="single" w:sz="4" w:space="0" w:color="auto"/>
              <w:right w:val="single" w:sz="4" w:space="0" w:color="auto"/>
            </w:tcBorders>
            <w:shd w:val="clear" w:color="auto" w:fill="auto"/>
            <w:noWrap/>
            <w:hideMark/>
          </w:tcPr>
          <w:p w14:paraId="3F4D9F3E" w14:textId="72AE818F" w:rsidR="0059636A" w:rsidRPr="00AC71BF" w:rsidRDefault="00284D1C" w:rsidP="00AC71BF">
            <w:pPr>
              <w:shd w:val="clear" w:color="auto" w:fill="FFFFFF"/>
              <w:spacing w:before="100" w:beforeAutospacing="1" w:after="100" w:afterAutospacing="1"/>
              <w:rPr>
                <w:rFonts w:ascii="Calibri" w:eastAsia="Times New Roman" w:hAnsi="Calibri" w:cs="Calibri"/>
                <w:color w:val="000000"/>
                <w:sz w:val="20"/>
                <w:szCs w:val="20"/>
              </w:rPr>
            </w:pPr>
            <w:r>
              <w:rPr>
                <w:rFonts w:cstheme="minorHAnsi"/>
                <w:b/>
                <w:sz w:val="22"/>
                <w:szCs w:val="22"/>
              </w:rPr>
              <w:t>Apply and Analyze information—</w:t>
            </w:r>
            <w:r w:rsidRPr="00284D1C">
              <w:rPr>
                <w:rFonts w:cstheme="minorHAnsi"/>
                <w:sz w:val="22"/>
                <w:szCs w:val="22"/>
              </w:rPr>
              <w:t>Apply mathematical techniques to the analysis of quantitative problems</w:t>
            </w:r>
          </w:p>
        </w:tc>
        <w:tc>
          <w:tcPr>
            <w:tcW w:w="905" w:type="dxa"/>
            <w:tcBorders>
              <w:top w:val="nil"/>
              <w:left w:val="nil"/>
              <w:bottom w:val="single" w:sz="4" w:space="0" w:color="auto"/>
              <w:right w:val="single" w:sz="4" w:space="0" w:color="auto"/>
            </w:tcBorders>
            <w:shd w:val="clear" w:color="auto" w:fill="auto"/>
            <w:noWrap/>
            <w:hideMark/>
          </w:tcPr>
          <w:p w14:paraId="6EE0EC91" w14:textId="77777777" w:rsidR="001F0695" w:rsidRPr="006C7725" w:rsidRDefault="001F0695" w:rsidP="001F0695">
            <w:pPr>
              <w:rPr>
                <w:rFonts w:eastAsia="Times New Roman" w:cstheme="minorHAnsi"/>
                <w:color w:val="000000"/>
                <w:sz w:val="22"/>
                <w:szCs w:val="22"/>
              </w:rPr>
            </w:pPr>
            <w:r w:rsidRPr="006C7725">
              <w:rPr>
                <w:rFonts w:eastAsia="Times New Roman" w:cstheme="minorHAnsi"/>
                <w:color w:val="000000"/>
                <w:sz w:val="22"/>
                <w:szCs w:val="22"/>
              </w:rPr>
              <w:t>Not</w:t>
            </w:r>
          </w:p>
          <w:p w14:paraId="1FE2F155" w14:textId="45E060A0" w:rsidR="0059636A" w:rsidRPr="00D46A4A" w:rsidRDefault="001F0695" w:rsidP="001F0695">
            <w:pPr>
              <w:rPr>
                <w:rFonts w:ascii="Calibri" w:eastAsia="Times New Roman" w:hAnsi="Calibri" w:cs="Calibri"/>
                <w:color w:val="000000"/>
                <w:sz w:val="20"/>
                <w:szCs w:val="20"/>
              </w:rPr>
            </w:pPr>
            <w:r w:rsidRPr="006C7725">
              <w:rPr>
                <w:rFonts w:eastAsia="Times New Roman" w:cstheme="minorHAnsi"/>
                <w:color w:val="000000"/>
                <w:sz w:val="22"/>
                <w:szCs w:val="22"/>
              </w:rPr>
              <w:t>evident</w:t>
            </w:r>
          </w:p>
        </w:tc>
        <w:tc>
          <w:tcPr>
            <w:tcW w:w="2632" w:type="dxa"/>
            <w:tcBorders>
              <w:top w:val="single" w:sz="4" w:space="0" w:color="auto"/>
              <w:left w:val="nil"/>
              <w:bottom w:val="single" w:sz="4" w:space="0" w:color="auto"/>
              <w:right w:val="single" w:sz="4" w:space="0" w:color="auto"/>
            </w:tcBorders>
          </w:tcPr>
          <w:p w14:paraId="4F251B65" w14:textId="77777777" w:rsidR="00284D1C" w:rsidRPr="008436BD" w:rsidRDefault="00284D1C" w:rsidP="00284D1C">
            <w:r>
              <w:t xml:space="preserve">Makes a reasonable but unsuccessful attempt to convert </w:t>
            </w:r>
            <w:r w:rsidRPr="008436BD">
              <w:t>information into</w:t>
            </w:r>
            <w:r>
              <w:t xml:space="preserve"> an appropriate </w:t>
            </w:r>
            <w:r w:rsidRPr="008436BD">
              <w:t>mathematical portrayal.</w:t>
            </w:r>
          </w:p>
          <w:p w14:paraId="5D98C7DC" w14:textId="77777777" w:rsidR="00284D1C" w:rsidRPr="008436BD" w:rsidRDefault="00284D1C" w:rsidP="00284D1C"/>
          <w:p w14:paraId="155AE6FE" w14:textId="77777777" w:rsidR="00284D1C" w:rsidRDefault="00284D1C" w:rsidP="00284D1C"/>
          <w:p w14:paraId="0059FD2F" w14:textId="77777777" w:rsidR="00284D1C" w:rsidRDefault="00284D1C" w:rsidP="00284D1C"/>
          <w:p w14:paraId="4938186A" w14:textId="5B5C55F2" w:rsidR="00284D1C" w:rsidRDefault="00284D1C" w:rsidP="00284D1C">
            <w:r>
              <w:t xml:space="preserve">Calculations, if attempted, are unsuccessful for solving the problem. </w:t>
            </w:r>
          </w:p>
          <w:p w14:paraId="080D7E04" w14:textId="77777777" w:rsidR="00284D1C" w:rsidRPr="008436BD" w:rsidRDefault="00284D1C" w:rsidP="00284D1C">
            <w:pPr>
              <w:rPr>
                <w:rFonts w:cs="Garamond"/>
              </w:rPr>
            </w:pPr>
          </w:p>
          <w:p w14:paraId="58CA5FB5" w14:textId="77777777" w:rsidR="00284D1C" w:rsidRDefault="00284D1C" w:rsidP="00284D1C"/>
          <w:p w14:paraId="047FB6AD" w14:textId="1752A681" w:rsidR="0059636A" w:rsidRPr="00D46A4A" w:rsidRDefault="00284D1C" w:rsidP="00284D1C">
            <w:pPr>
              <w:rPr>
                <w:rFonts w:ascii="Calibri" w:eastAsia="Times New Roman" w:hAnsi="Calibri" w:cs="Calibri"/>
                <w:color w:val="000000"/>
                <w:sz w:val="20"/>
                <w:szCs w:val="20"/>
              </w:rPr>
            </w:pPr>
            <w:r>
              <w:t>Interpretation, if attempted, is unsuccessful or inaccurate.</w:t>
            </w:r>
          </w:p>
        </w:tc>
        <w:tc>
          <w:tcPr>
            <w:tcW w:w="2633" w:type="dxa"/>
            <w:tcBorders>
              <w:top w:val="single" w:sz="4" w:space="0" w:color="auto"/>
              <w:left w:val="single" w:sz="4" w:space="0" w:color="auto"/>
              <w:bottom w:val="single" w:sz="4" w:space="0" w:color="auto"/>
              <w:right w:val="single" w:sz="4" w:space="0" w:color="auto"/>
            </w:tcBorders>
            <w:shd w:val="clear" w:color="auto" w:fill="auto"/>
            <w:noWrap/>
            <w:hideMark/>
          </w:tcPr>
          <w:p w14:paraId="64505821" w14:textId="77777777" w:rsidR="00284D1C" w:rsidRDefault="00284D1C" w:rsidP="00284D1C">
            <w:r>
              <w:t>Is able to meet</w:t>
            </w:r>
            <w:r w:rsidRPr="008436BD">
              <w:t xml:space="preserve"> </w:t>
            </w:r>
            <w:r>
              <w:t>one</w:t>
            </w:r>
            <w:r w:rsidRPr="008436BD">
              <w:t xml:space="preserve"> </w:t>
            </w:r>
            <w:r>
              <w:t>of the following criteria:</w:t>
            </w:r>
          </w:p>
          <w:p w14:paraId="7951E923" w14:textId="77777777" w:rsidR="00284D1C" w:rsidRDefault="00284D1C" w:rsidP="00284D1C"/>
          <w:p w14:paraId="5669ED48" w14:textId="77777777" w:rsidR="00284D1C" w:rsidRPr="008436BD" w:rsidRDefault="00284D1C" w:rsidP="00284D1C">
            <w:r>
              <w:t>C</w:t>
            </w:r>
            <w:r w:rsidRPr="008436BD">
              <w:t>onverts relevant information into</w:t>
            </w:r>
            <w:r>
              <w:t xml:space="preserve"> an appropriate </w:t>
            </w:r>
            <w:r w:rsidRPr="008436BD">
              <w:t>mathematical portrayal.</w:t>
            </w:r>
          </w:p>
          <w:p w14:paraId="38C0CFE1" w14:textId="77777777" w:rsidR="00284D1C" w:rsidRPr="008436BD" w:rsidRDefault="00284D1C" w:rsidP="00284D1C"/>
          <w:p w14:paraId="57F3B3B8" w14:textId="77777777" w:rsidR="00284D1C" w:rsidRDefault="00284D1C" w:rsidP="00284D1C">
            <w:r w:rsidRPr="007D6BC9">
              <w:t xml:space="preserve">Calculations </w:t>
            </w:r>
            <w:r>
              <w:t xml:space="preserve">successfully </w:t>
            </w:r>
            <w:r w:rsidRPr="007D6BC9">
              <w:t>solv</w:t>
            </w:r>
            <w:r>
              <w:t xml:space="preserve">e the problem (possibly with minor computational or copy errors). </w:t>
            </w:r>
          </w:p>
          <w:p w14:paraId="3B427089" w14:textId="77777777" w:rsidR="00284D1C" w:rsidRPr="008436BD" w:rsidRDefault="00284D1C" w:rsidP="00284D1C">
            <w:pPr>
              <w:rPr>
                <w:rFonts w:cs="Garamond"/>
              </w:rPr>
            </w:pPr>
          </w:p>
          <w:p w14:paraId="6050FB41" w14:textId="7EE417AD" w:rsidR="0059636A" w:rsidRPr="00D46A4A" w:rsidRDefault="00284D1C" w:rsidP="00284D1C">
            <w:pPr>
              <w:rPr>
                <w:rFonts w:ascii="Calibri" w:eastAsia="Times New Roman" w:hAnsi="Calibri" w:cs="Calibri"/>
                <w:color w:val="000000"/>
                <w:sz w:val="20"/>
                <w:szCs w:val="20"/>
              </w:rPr>
            </w:pPr>
            <w:r>
              <w:t>Provides accurate explanations of information presented in mathematical forms. Makes appropriate inferences based on that information.</w:t>
            </w:r>
          </w:p>
        </w:tc>
        <w:tc>
          <w:tcPr>
            <w:tcW w:w="2632" w:type="dxa"/>
            <w:tcBorders>
              <w:top w:val="nil"/>
              <w:left w:val="nil"/>
              <w:bottom w:val="single" w:sz="4" w:space="0" w:color="auto"/>
              <w:right w:val="single" w:sz="4" w:space="0" w:color="auto"/>
            </w:tcBorders>
            <w:shd w:val="clear" w:color="auto" w:fill="auto"/>
            <w:noWrap/>
            <w:hideMark/>
          </w:tcPr>
          <w:p w14:paraId="750B732A" w14:textId="77777777" w:rsidR="00284D1C" w:rsidRDefault="00284D1C" w:rsidP="00284D1C">
            <w:r>
              <w:t>Is able to meet</w:t>
            </w:r>
            <w:r w:rsidRPr="008436BD">
              <w:t xml:space="preserve"> two </w:t>
            </w:r>
            <w:r>
              <w:t>of the following criteria:</w:t>
            </w:r>
          </w:p>
          <w:p w14:paraId="534E075F" w14:textId="77777777" w:rsidR="00284D1C" w:rsidRDefault="00284D1C" w:rsidP="00284D1C"/>
          <w:p w14:paraId="737D9DC0" w14:textId="77777777" w:rsidR="00284D1C" w:rsidRPr="008436BD" w:rsidRDefault="00284D1C" w:rsidP="00284D1C">
            <w:r>
              <w:t>C</w:t>
            </w:r>
            <w:r w:rsidRPr="008436BD">
              <w:t>onverts relevant information into</w:t>
            </w:r>
            <w:r>
              <w:t xml:space="preserve"> an appropriate </w:t>
            </w:r>
            <w:r w:rsidRPr="008436BD">
              <w:t>mathematical portrayal.</w:t>
            </w:r>
          </w:p>
          <w:p w14:paraId="3519D193" w14:textId="77777777" w:rsidR="00284D1C" w:rsidRPr="008436BD" w:rsidRDefault="00284D1C" w:rsidP="00284D1C"/>
          <w:p w14:paraId="3A89D3F0" w14:textId="77777777" w:rsidR="00284D1C" w:rsidRDefault="00284D1C" w:rsidP="00284D1C">
            <w:r w:rsidRPr="007D6BC9">
              <w:t xml:space="preserve">Calculations </w:t>
            </w:r>
            <w:r>
              <w:t xml:space="preserve">successfully </w:t>
            </w:r>
            <w:r w:rsidRPr="007D6BC9">
              <w:t>solv</w:t>
            </w:r>
            <w:r>
              <w:t xml:space="preserve">e the problem (possibly with minor computational or copy errors). </w:t>
            </w:r>
          </w:p>
          <w:p w14:paraId="5494685E" w14:textId="77777777" w:rsidR="00284D1C" w:rsidRPr="008436BD" w:rsidRDefault="00284D1C" w:rsidP="00284D1C">
            <w:pPr>
              <w:rPr>
                <w:rFonts w:cs="Garamond"/>
              </w:rPr>
            </w:pPr>
          </w:p>
          <w:p w14:paraId="1DC3E15B" w14:textId="5C74B13E" w:rsidR="0059636A" w:rsidRPr="00D46A4A" w:rsidRDefault="00284D1C" w:rsidP="00284D1C">
            <w:pPr>
              <w:rPr>
                <w:rFonts w:ascii="Calibri" w:eastAsia="Times New Roman" w:hAnsi="Calibri" w:cs="Calibri"/>
                <w:color w:val="000000"/>
                <w:sz w:val="20"/>
                <w:szCs w:val="20"/>
              </w:rPr>
            </w:pPr>
            <w:r>
              <w:t>Provides accurate explanations of information presented in mathematical forms. Makes appropriate inferences based on that information.</w:t>
            </w:r>
          </w:p>
        </w:tc>
        <w:tc>
          <w:tcPr>
            <w:tcW w:w="2633" w:type="dxa"/>
            <w:tcBorders>
              <w:top w:val="nil"/>
              <w:left w:val="nil"/>
              <w:bottom w:val="single" w:sz="4" w:space="0" w:color="auto"/>
              <w:right w:val="single" w:sz="4" w:space="0" w:color="auto"/>
            </w:tcBorders>
            <w:shd w:val="clear" w:color="auto" w:fill="auto"/>
            <w:noWrap/>
            <w:hideMark/>
          </w:tcPr>
          <w:p w14:paraId="3FB9402A" w14:textId="77777777" w:rsidR="00284D1C" w:rsidRDefault="00284D1C" w:rsidP="00284D1C">
            <w:r>
              <w:t>Is able to meet all of the following criteria:</w:t>
            </w:r>
          </w:p>
          <w:p w14:paraId="40DF71D6" w14:textId="77777777" w:rsidR="00284D1C" w:rsidRDefault="00284D1C" w:rsidP="00284D1C"/>
          <w:p w14:paraId="571EEBC4" w14:textId="77777777" w:rsidR="00284D1C" w:rsidRPr="008436BD" w:rsidRDefault="00284D1C" w:rsidP="00284D1C">
            <w:r>
              <w:t>C</w:t>
            </w:r>
            <w:r w:rsidRPr="008436BD">
              <w:t>onverts relevant information into</w:t>
            </w:r>
            <w:r>
              <w:t xml:space="preserve"> an appropriate </w:t>
            </w:r>
            <w:r w:rsidRPr="008436BD">
              <w:t>mathematical portrayal.</w:t>
            </w:r>
          </w:p>
          <w:p w14:paraId="5847B3EA" w14:textId="77777777" w:rsidR="00284D1C" w:rsidRDefault="00284D1C" w:rsidP="00284D1C"/>
          <w:p w14:paraId="51CDFF8F" w14:textId="77777777" w:rsidR="00284D1C" w:rsidRDefault="00284D1C" w:rsidP="00284D1C">
            <w:r w:rsidRPr="007D6BC9">
              <w:t xml:space="preserve">Calculations </w:t>
            </w:r>
            <w:r>
              <w:t xml:space="preserve">successfully </w:t>
            </w:r>
            <w:r w:rsidRPr="007D6BC9">
              <w:t>solv</w:t>
            </w:r>
            <w:r>
              <w:t xml:space="preserve">e the problem (possibly with minor computational or copy errors). </w:t>
            </w:r>
          </w:p>
          <w:p w14:paraId="66D1EBD6" w14:textId="77777777" w:rsidR="00284D1C" w:rsidRDefault="00284D1C" w:rsidP="00284D1C"/>
          <w:p w14:paraId="7EA91362" w14:textId="1E51573F" w:rsidR="0059636A" w:rsidRPr="00D46A4A" w:rsidRDefault="00284D1C" w:rsidP="00284D1C">
            <w:pPr>
              <w:rPr>
                <w:rFonts w:ascii="Calibri" w:eastAsia="Times New Roman" w:hAnsi="Calibri" w:cs="Calibri"/>
                <w:color w:val="000000"/>
                <w:sz w:val="20"/>
                <w:szCs w:val="20"/>
              </w:rPr>
            </w:pPr>
            <w:r>
              <w:t>Provides accurate explanations of information presented in mathematical forms. Makes appropriate inferences based on that information.</w:t>
            </w:r>
          </w:p>
        </w:tc>
      </w:tr>
      <w:tr w:rsidR="001F0695" w:rsidRPr="00D46A4A" w14:paraId="7D0488B9" w14:textId="77777777" w:rsidTr="001F0695">
        <w:trPr>
          <w:trHeight w:val="320"/>
        </w:trPr>
        <w:tc>
          <w:tcPr>
            <w:tcW w:w="2605" w:type="dxa"/>
            <w:tcBorders>
              <w:top w:val="nil"/>
              <w:left w:val="single" w:sz="4" w:space="0" w:color="auto"/>
              <w:bottom w:val="single" w:sz="4" w:space="0" w:color="auto"/>
              <w:right w:val="single" w:sz="4" w:space="0" w:color="auto"/>
            </w:tcBorders>
            <w:shd w:val="clear" w:color="auto" w:fill="auto"/>
            <w:noWrap/>
            <w:hideMark/>
          </w:tcPr>
          <w:p w14:paraId="661004DE" w14:textId="47B32F62" w:rsidR="0059636A" w:rsidRPr="00284D1C" w:rsidRDefault="00284D1C" w:rsidP="00AC71BF">
            <w:pPr>
              <w:shd w:val="clear" w:color="auto" w:fill="FFFFFF"/>
              <w:spacing w:before="100" w:beforeAutospacing="1" w:after="260"/>
              <w:contextualSpacing/>
              <w:rPr>
                <w:rFonts w:ascii="Calibri" w:eastAsia="Times New Roman" w:hAnsi="Calibri" w:cs="Calibri"/>
                <w:color w:val="000000"/>
                <w:sz w:val="22"/>
                <w:szCs w:val="22"/>
              </w:rPr>
            </w:pPr>
            <w:r w:rsidRPr="00284D1C">
              <w:rPr>
                <w:b/>
                <w:sz w:val="22"/>
                <w:szCs w:val="22"/>
              </w:rPr>
              <w:t>Communicate</w:t>
            </w:r>
            <w:r>
              <w:rPr>
                <w:b/>
                <w:sz w:val="22"/>
                <w:szCs w:val="22"/>
              </w:rPr>
              <w:t xml:space="preserve"> using mathematical forms</w:t>
            </w:r>
            <w:r w:rsidRPr="00284D1C">
              <w:rPr>
                <w:b/>
                <w:sz w:val="22"/>
                <w:szCs w:val="22"/>
              </w:rPr>
              <w:t>—</w:t>
            </w:r>
            <w:r w:rsidRPr="00284D1C">
              <w:rPr>
                <w:sz w:val="22"/>
                <w:szCs w:val="22"/>
              </w:rPr>
              <w:t>Communicate the mathematical process and results in text, graphics, and symbols.</w:t>
            </w:r>
          </w:p>
        </w:tc>
        <w:tc>
          <w:tcPr>
            <w:tcW w:w="905" w:type="dxa"/>
            <w:tcBorders>
              <w:top w:val="nil"/>
              <w:left w:val="nil"/>
              <w:bottom w:val="single" w:sz="4" w:space="0" w:color="auto"/>
              <w:right w:val="single" w:sz="4" w:space="0" w:color="auto"/>
            </w:tcBorders>
            <w:shd w:val="clear" w:color="auto" w:fill="auto"/>
            <w:noWrap/>
            <w:hideMark/>
          </w:tcPr>
          <w:p w14:paraId="4BE7ADF8" w14:textId="77777777" w:rsidR="001F0695" w:rsidRPr="006C7725" w:rsidRDefault="001F0695" w:rsidP="001F0695">
            <w:pPr>
              <w:rPr>
                <w:rFonts w:eastAsia="Times New Roman" w:cstheme="minorHAnsi"/>
                <w:color w:val="000000"/>
                <w:sz w:val="22"/>
                <w:szCs w:val="22"/>
              </w:rPr>
            </w:pPr>
            <w:r w:rsidRPr="006C7725">
              <w:rPr>
                <w:rFonts w:eastAsia="Times New Roman" w:cstheme="minorHAnsi"/>
                <w:color w:val="000000"/>
                <w:sz w:val="22"/>
                <w:szCs w:val="22"/>
              </w:rPr>
              <w:t>Not</w:t>
            </w:r>
          </w:p>
          <w:p w14:paraId="0F97B1F6" w14:textId="1209E6C0" w:rsidR="0059636A" w:rsidRPr="00D46A4A" w:rsidRDefault="001F0695" w:rsidP="001F0695">
            <w:pPr>
              <w:rPr>
                <w:rFonts w:ascii="Calibri" w:eastAsia="Times New Roman" w:hAnsi="Calibri" w:cs="Calibri"/>
                <w:color w:val="000000"/>
                <w:sz w:val="20"/>
                <w:szCs w:val="20"/>
              </w:rPr>
            </w:pPr>
            <w:r w:rsidRPr="006C7725">
              <w:rPr>
                <w:rFonts w:eastAsia="Times New Roman" w:cstheme="minorHAnsi"/>
                <w:color w:val="000000"/>
                <w:sz w:val="22"/>
                <w:szCs w:val="22"/>
              </w:rPr>
              <w:t>evident</w:t>
            </w:r>
          </w:p>
        </w:tc>
        <w:tc>
          <w:tcPr>
            <w:tcW w:w="2632" w:type="dxa"/>
            <w:tcBorders>
              <w:top w:val="single" w:sz="4" w:space="0" w:color="auto"/>
              <w:left w:val="nil"/>
              <w:bottom w:val="single" w:sz="4" w:space="0" w:color="auto"/>
              <w:right w:val="single" w:sz="4" w:space="0" w:color="auto"/>
            </w:tcBorders>
          </w:tcPr>
          <w:p w14:paraId="4DAAFD2A" w14:textId="2D92EC29" w:rsidR="0059636A" w:rsidRPr="00D46A4A" w:rsidRDefault="00284D1C" w:rsidP="00676EBC">
            <w:pPr>
              <w:rPr>
                <w:rFonts w:ascii="Calibri" w:eastAsia="Times New Roman" w:hAnsi="Calibri" w:cs="Calibri"/>
                <w:color w:val="000000"/>
                <w:sz w:val="20"/>
                <w:szCs w:val="20"/>
              </w:rPr>
            </w:pPr>
            <w:r>
              <w:rPr>
                <w:rFonts w:cs="Garamond"/>
              </w:rPr>
              <w:t>Attempts to c</w:t>
            </w:r>
            <w:r>
              <w:t xml:space="preserve">ommunicate the mathematical process, but in a way </w:t>
            </w:r>
            <w:r>
              <w:rPr>
                <w:rFonts w:cs="Garamond"/>
              </w:rPr>
              <w:t>that is unclear and has important omissions.</w:t>
            </w:r>
          </w:p>
        </w:tc>
        <w:tc>
          <w:tcPr>
            <w:tcW w:w="2633" w:type="dxa"/>
            <w:tcBorders>
              <w:top w:val="single" w:sz="4" w:space="0" w:color="auto"/>
              <w:left w:val="single" w:sz="4" w:space="0" w:color="auto"/>
              <w:bottom w:val="single" w:sz="4" w:space="0" w:color="auto"/>
              <w:right w:val="single" w:sz="4" w:space="0" w:color="auto"/>
            </w:tcBorders>
            <w:shd w:val="clear" w:color="auto" w:fill="auto"/>
            <w:noWrap/>
            <w:hideMark/>
          </w:tcPr>
          <w:p w14:paraId="4992E0C4" w14:textId="7B38275A" w:rsidR="0059636A" w:rsidRPr="00D46A4A" w:rsidRDefault="00284D1C" w:rsidP="00676EBC">
            <w:pPr>
              <w:rPr>
                <w:rFonts w:ascii="Calibri" w:eastAsia="Times New Roman" w:hAnsi="Calibri" w:cs="Calibri"/>
                <w:color w:val="000000"/>
                <w:sz w:val="20"/>
                <w:szCs w:val="20"/>
              </w:rPr>
            </w:pPr>
            <w:r>
              <w:t xml:space="preserve">Communicates the mathematical process in a way </w:t>
            </w:r>
            <w:r>
              <w:rPr>
                <w:rFonts w:cs="Garamond"/>
              </w:rPr>
              <w:t>that is either unclear or has important omissions.</w:t>
            </w:r>
          </w:p>
        </w:tc>
        <w:tc>
          <w:tcPr>
            <w:tcW w:w="2632" w:type="dxa"/>
            <w:tcBorders>
              <w:top w:val="nil"/>
              <w:left w:val="nil"/>
              <w:bottom w:val="single" w:sz="4" w:space="0" w:color="auto"/>
              <w:right w:val="single" w:sz="4" w:space="0" w:color="auto"/>
            </w:tcBorders>
            <w:shd w:val="clear" w:color="auto" w:fill="auto"/>
            <w:noWrap/>
            <w:hideMark/>
          </w:tcPr>
          <w:p w14:paraId="22C59419" w14:textId="3E492186" w:rsidR="0059636A" w:rsidRPr="00D46A4A" w:rsidRDefault="00284D1C" w:rsidP="00676EBC">
            <w:pPr>
              <w:rPr>
                <w:rFonts w:ascii="Calibri" w:eastAsia="Times New Roman" w:hAnsi="Calibri" w:cs="Calibri"/>
                <w:color w:val="000000"/>
                <w:sz w:val="20"/>
                <w:szCs w:val="20"/>
              </w:rPr>
            </w:pPr>
            <w:r>
              <w:t xml:space="preserve">Communicates the mathematical process in a way </w:t>
            </w:r>
            <w:r>
              <w:rPr>
                <w:rFonts w:cs="Garamond"/>
              </w:rPr>
              <w:t>that is clear but with minor omissions.</w:t>
            </w:r>
          </w:p>
        </w:tc>
        <w:tc>
          <w:tcPr>
            <w:tcW w:w="2633" w:type="dxa"/>
            <w:tcBorders>
              <w:top w:val="nil"/>
              <w:left w:val="nil"/>
              <w:bottom w:val="single" w:sz="4" w:space="0" w:color="auto"/>
              <w:right w:val="single" w:sz="4" w:space="0" w:color="auto"/>
            </w:tcBorders>
            <w:shd w:val="clear" w:color="auto" w:fill="auto"/>
            <w:noWrap/>
            <w:hideMark/>
          </w:tcPr>
          <w:p w14:paraId="10CF5535" w14:textId="22D21513" w:rsidR="0059636A" w:rsidRPr="00D46A4A" w:rsidRDefault="00284D1C" w:rsidP="00676EBC">
            <w:pPr>
              <w:rPr>
                <w:rFonts w:ascii="Calibri" w:eastAsia="Times New Roman" w:hAnsi="Calibri" w:cs="Calibri"/>
                <w:color w:val="000000"/>
                <w:sz w:val="20"/>
                <w:szCs w:val="20"/>
              </w:rPr>
            </w:pPr>
            <w:r>
              <w:t xml:space="preserve">Communicates the </w:t>
            </w:r>
            <w:r>
              <w:rPr>
                <w:rFonts w:cs="Garamond"/>
              </w:rPr>
              <w:t xml:space="preserve">complete </w:t>
            </w:r>
            <w:r>
              <w:t xml:space="preserve">mathematical process </w:t>
            </w:r>
            <w:r>
              <w:rPr>
                <w:rFonts w:cs="Garamond"/>
              </w:rPr>
              <w:t>clearly and effectively.</w:t>
            </w:r>
          </w:p>
        </w:tc>
      </w:tr>
    </w:tbl>
    <w:p w14:paraId="6BA65EF0" w14:textId="77777777" w:rsidR="00676EBC" w:rsidRPr="00676EBC" w:rsidRDefault="00676EBC" w:rsidP="00D46A4A">
      <w:pPr>
        <w:rPr>
          <w:rFonts w:cstheme="minorHAnsi"/>
          <w:sz w:val="20"/>
          <w:szCs w:val="20"/>
        </w:rPr>
      </w:pPr>
    </w:p>
    <w:sectPr w:rsidR="00676EBC" w:rsidRPr="00676EBC" w:rsidSect="00D46A4A">
      <w:pgSz w:w="15840" w:h="12240" w:orient="landscape"/>
      <w:pgMar w:top="729"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62D9A"/>
    <w:multiLevelType w:val="multilevel"/>
    <w:tmpl w:val="31341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4A"/>
    <w:rsid w:val="0002358C"/>
    <w:rsid w:val="00040F13"/>
    <w:rsid w:val="00081E71"/>
    <w:rsid w:val="000D7F14"/>
    <w:rsid w:val="00143866"/>
    <w:rsid w:val="00152DB0"/>
    <w:rsid w:val="001B1D37"/>
    <w:rsid w:val="001F0695"/>
    <w:rsid w:val="0021488C"/>
    <w:rsid w:val="00232D4D"/>
    <w:rsid w:val="00284D1C"/>
    <w:rsid w:val="002C52CF"/>
    <w:rsid w:val="002D6469"/>
    <w:rsid w:val="00365941"/>
    <w:rsid w:val="00424EAB"/>
    <w:rsid w:val="0044395B"/>
    <w:rsid w:val="00456153"/>
    <w:rsid w:val="004E74C8"/>
    <w:rsid w:val="005239AF"/>
    <w:rsid w:val="00565F8D"/>
    <w:rsid w:val="0059224F"/>
    <w:rsid w:val="0059636A"/>
    <w:rsid w:val="005A55D8"/>
    <w:rsid w:val="00624449"/>
    <w:rsid w:val="00676EBC"/>
    <w:rsid w:val="006930AD"/>
    <w:rsid w:val="00793D04"/>
    <w:rsid w:val="007B13D5"/>
    <w:rsid w:val="007B3C3D"/>
    <w:rsid w:val="00AC71BF"/>
    <w:rsid w:val="00AE2518"/>
    <w:rsid w:val="00AF06EB"/>
    <w:rsid w:val="00B72BFF"/>
    <w:rsid w:val="00BE526C"/>
    <w:rsid w:val="00C54796"/>
    <w:rsid w:val="00CC688E"/>
    <w:rsid w:val="00D07580"/>
    <w:rsid w:val="00D158E9"/>
    <w:rsid w:val="00D42FD7"/>
    <w:rsid w:val="00D46A4A"/>
    <w:rsid w:val="00DB6E87"/>
    <w:rsid w:val="00E51731"/>
    <w:rsid w:val="00EF0555"/>
    <w:rsid w:val="00F45BE9"/>
    <w:rsid w:val="00F63F23"/>
    <w:rsid w:val="0E5E8B34"/>
    <w:rsid w:val="61190B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B6E0"/>
  <w14:defaultImageDpi w14:val="32767"/>
  <w15:chartTrackingRefBased/>
  <w15:docId w15:val="{63ADC41F-BEE5-EC49-980B-6DE65AEB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8">
    <w:name w:val="CM28"/>
    <w:basedOn w:val="Normal"/>
    <w:next w:val="Normal"/>
    <w:uiPriority w:val="99"/>
    <w:rsid w:val="00E51731"/>
    <w:pPr>
      <w:widowControl w:val="0"/>
      <w:autoSpaceDE w:val="0"/>
      <w:autoSpaceDN w:val="0"/>
      <w:adjustRightInd w:val="0"/>
    </w:pPr>
    <w:rPr>
      <w:rFonts w:ascii="Garamond" w:hAnsi="Garamond"/>
    </w:rPr>
  </w:style>
  <w:style w:type="paragraph" w:styleId="ListParagraph">
    <w:name w:val="List Paragraph"/>
    <w:basedOn w:val="Normal"/>
    <w:uiPriority w:val="34"/>
    <w:qFormat/>
    <w:rsid w:val="00E51731"/>
    <w:pPr>
      <w:ind w:left="720"/>
      <w:contextualSpacing/>
    </w:pPr>
  </w:style>
  <w:style w:type="paragraph" w:customStyle="1" w:styleId="Default">
    <w:name w:val="Default"/>
    <w:rsid w:val="002C52CF"/>
    <w:pPr>
      <w:widowControl w:val="0"/>
      <w:autoSpaceDE w:val="0"/>
      <w:autoSpaceDN w:val="0"/>
      <w:adjustRightInd w:val="0"/>
    </w:pPr>
    <w:rPr>
      <w:rFonts w:ascii="Garamond" w:hAnsi="Garamond" w:cs="Garamond"/>
      <w:color w:val="000000"/>
    </w:rPr>
  </w:style>
  <w:style w:type="paragraph" w:customStyle="1" w:styleId="CM1">
    <w:name w:val="CM1"/>
    <w:basedOn w:val="Default"/>
    <w:next w:val="Default"/>
    <w:uiPriority w:val="99"/>
    <w:rsid w:val="002C52CF"/>
    <w:rPr>
      <w:rFonts w:cstheme="minorBidi"/>
      <w:color w:val="auto"/>
    </w:rPr>
  </w:style>
  <w:style w:type="paragraph" w:customStyle="1" w:styleId="CM3">
    <w:name w:val="CM3"/>
    <w:basedOn w:val="Default"/>
    <w:next w:val="Default"/>
    <w:uiPriority w:val="99"/>
    <w:rsid w:val="002C52CF"/>
    <w:pPr>
      <w:spacing w:line="220" w:lineRule="atLeast"/>
    </w:pPr>
    <w:rPr>
      <w:rFonts w:cstheme="minorBidi"/>
      <w:color w:val="auto"/>
    </w:rPr>
  </w:style>
  <w:style w:type="paragraph" w:customStyle="1" w:styleId="CM32">
    <w:name w:val="CM32"/>
    <w:basedOn w:val="Default"/>
    <w:next w:val="Default"/>
    <w:uiPriority w:val="99"/>
    <w:rsid w:val="002C52CF"/>
    <w:rPr>
      <w:rFonts w:cstheme="minorBidi"/>
      <w:color w:val="auto"/>
    </w:rPr>
  </w:style>
  <w:style w:type="paragraph" w:customStyle="1" w:styleId="CM8">
    <w:name w:val="CM8"/>
    <w:basedOn w:val="Default"/>
    <w:next w:val="Default"/>
    <w:uiPriority w:val="99"/>
    <w:rsid w:val="002C52CF"/>
    <w:pPr>
      <w:spacing w:line="266" w:lineRule="atLeast"/>
    </w:pPr>
    <w:rPr>
      <w:rFonts w:cstheme="minorBidi"/>
      <w:color w:val="auto"/>
    </w:rPr>
  </w:style>
  <w:style w:type="paragraph" w:customStyle="1" w:styleId="CM9">
    <w:name w:val="CM9"/>
    <w:basedOn w:val="Default"/>
    <w:next w:val="Default"/>
    <w:uiPriority w:val="99"/>
    <w:rsid w:val="002C52CF"/>
    <w:pPr>
      <w:spacing w:line="263" w:lineRule="atLeast"/>
    </w:pPr>
    <w:rPr>
      <w:rFonts w:cstheme="minorBidi"/>
      <w:color w:val="auto"/>
    </w:rPr>
  </w:style>
  <w:style w:type="paragraph" w:customStyle="1" w:styleId="CM10">
    <w:name w:val="CM10"/>
    <w:basedOn w:val="Default"/>
    <w:next w:val="Default"/>
    <w:uiPriority w:val="99"/>
    <w:rsid w:val="002C52CF"/>
    <w:pPr>
      <w:spacing w:line="258" w:lineRule="atLeast"/>
    </w:pPr>
    <w:rPr>
      <w:rFonts w:cstheme="minorBidi"/>
      <w:color w:val="auto"/>
    </w:rPr>
  </w:style>
  <w:style w:type="paragraph" w:customStyle="1" w:styleId="CM15">
    <w:name w:val="CM15"/>
    <w:basedOn w:val="Default"/>
    <w:next w:val="Default"/>
    <w:uiPriority w:val="99"/>
    <w:rsid w:val="002C52CF"/>
    <w:pPr>
      <w:spacing w:line="260" w:lineRule="atLeast"/>
    </w:pPr>
    <w:rPr>
      <w:rFonts w:cstheme="minorBidi"/>
      <w:color w:val="auto"/>
    </w:rPr>
  </w:style>
  <w:style w:type="paragraph" w:customStyle="1" w:styleId="CM17">
    <w:name w:val="CM17"/>
    <w:basedOn w:val="Default"/>
    <w:next w:val="Default"/>
    <w:uiPriority w:val="99"/>
    <w:rsid w:val="002C52CF"/>
    <w:pPr>
      <w:spacing w:line="263" w:lineRule="atLeast"/>
    </w:pPr>
    <w:rPr>
      <w:rFonts w:cstheme="minorBidi"/>
      <w:color w:val="auto"/>
    </w:rPr>
  </w:style>
  <w:style w:type="paragraph" w:customStyle="1" w:styleId="CM23">
    <w:name w:val="CM23"/>
    <w:basedOn w:val="Default"/>
    <w:next w:val="Default"/>
    <w:uiPriority w:val="99"/>
    <w:rsid w:val="002C52CF"/>
    <w:pPr>
      <w:spacing w:line="25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390">
      <w:bodyDiv w:val="1"/>
      <w:marLeft w:val="0"/>
      <w:marRight w:val="0"/>
      <w:marTop w:val="0"/>
      <w:marBottom w:val="0"/>
      <w:divBdr>
        <w:top w:val="none" w:sz="0" w:space="0" w:color="auto"/>
        <w:left w:val="none" w:sz="0" w:space="0" w:color="auto"/>
        <w:bottom w:val="none" w:sz="0" w:space="0" w:color="auto"/>
        <w:right w:val="none" w:sz="0" w:space="0" w:color="auto"/>
      </w:divBdr>
    </w:div>
    <w:div w:id="292567430">
      <w:bodyDiv w:val="1"/>
      <w:marLeft w:val="0"/>
      <w:marRight w:val="0"/>
      <w:marTop w:val="0"/>
      <w:marBottom w:val="0"/>
      <w:divBdr>
        <w:top w:val="none" w:sz="0" w:space="0" w:color="auto"/>
        <w:left w:val="none" w:sz="0" w:space="0" w:color="auto"/>
        <w:bottom w:val="none" w:sz="0" w:space="0" w:color="auto"/>
        <w:right w:val="none" w:sz="0" w:space="0" w:color="auto"/>
      </w:divBdr>
    </w:div>
    <w:div w:id="366221071">
      <w:bodyDiv w:val="1"/>
      <w:marLeft w:val="0"/>
      <w:marRight w:val="0"/>
      <w:marTop w:val="0"/>
      <w:marBottom w:val="0"/>
      <w:divBdr>
        <w:top w:val="none" w:sz="0" w:space="0" w:color="auto"/>
        <w:left w:val="none" w:sz="0" w:space="0" w:color="auto"/>
        <w:bottom w:val="none" w:sz="0" w:space="0" w:color="auto"/>
        <w:right w:val="none" w:sz="0" w:space="0" w:color="auto"/>
      </w:divBdr>
    </w:div>
    <w:div w:id="368841956">
      <w:bodyDiv w:val="1"/>
      <w:marLeft w:val="0"/>
      <w:marRight w:val="0"/>
      <w:marTop w:val="0"/>
      <w:marBottom w:val="0"/>
      <w:divBdr>
        <w:top w:val="none" w:sz="0" w:space="0" w:color="auto"/>
        <w:left w:val="none" w:sz="0" w:space="0" w:color="auto"/>
        <w:bottom w:val="none" w:sz="0" w:space="0" w:color="auto"/>
        <w:right w:val="none" w:sz="0" w:space="0" w:color="auto"/>
      </w:divBdr>
    </w:div>
    <w:div w:id="395205069">
      <w:bodyDiv w:val="1"/>
      <w:marLeft w:val="0"/>
      <w:marRight w:val="0"/>
      <w:marTop w:val="0"/>
      <w:marBottom w:val="0"/>
      <w:divBdr>
        <w:top w:val="none" w:sz="0" w:space="0" w:color="auto"/>
        <w:left w:val="none" w:sz="0" w:space="0" w:color="auto"/>
        <w:bottom w:val="none" w:sz="0" w:space="0" w:color="auto"/>
        <w:right w:val="none" w:sz="0" w:space="0" w:color="auto"/>
      </w:divBdr>
    </w:div>
    <w:div w:id="444467131">
      <w:bodyDiv w:val="1"/>
      <w:marLeft w:val="0"/>
      <w:marRight w:val="0"/>
      <w:marTop w:val="0"/>
      <w:marBottom w:val="0"/>
      <w:divBdr>
        <w:top w:val="none" w:sz="0" w:space="0" w:color="auto"/>
        <w:left w:val="none" w:sz="0" w:space="0" w:color="auto"/>
        <w:bottom w:val="none" w:sz="0" w:space="0" w:color="auto"/>
        <w:right w:val="none" w:sz="0" w:space="0" w:color="auto"/>
      </w:divBdr>
    </w:div>
    <w:div w:id="517619056">
      <w:bodyDiv w:val="1"/>
      <w:marLeft w:val="0"/>
      <w:marRight w:val="0"/>
      <w:marTop w:val="0"/>
      <w:marBottom w:val="0"/>
      <w:divBdr>
        <w:top w:val="none" w:sz="0" w:space="0" w:color="auto"/>
        <w:left w:val="none" w:sz="0" w:space="0" w:color="auto"/>
        <w:bottom w:val="none" w:sz="0" w:space="0" w:color="auto"/>
        <w:right w:val="none" w:sz="0" w:space="0" w:color="auto"/>
      </w:divBdr>
    </w:div>
    <w:div w:id="875700641">
      <w:bodyDiv w:val="1"/>
      <w:marLeft w:val="0"/>
      <w:marRight w:val="0"/>
      <w:marTop w:val="0"/>
      <w:marBottom w:val="0"/>
      <w:divBdr>
        <w:top w:val="none" w:sz="0" w:space="0" w:color="auto"/>
        <w:left w:val="none" w:sz="0" w:space="0" w:color="auto"/>
        <w:bottom w:val="none" w:sz="0" w:space="0" w:color="auto"/>
        <w:right w:val="none" w:sz="0" w:space="0" w:color="auto"/>
      </w:divBdr>
    </w:div>
    <w:div w:id="1202862616">
      <w:bodyDiv w:val="1"/>
      <w:marLeft w:val="0"/>
      <w:marRight w:val="0"/>
      <w:marTop w:val="0"/>
      <w:marBottom w:val="0"/>
      <w:divBdr>
        <w:top w:val="none" w:sz="0" w:space="0" w:color="auto"/>
        <w:left w:val="none" w:sz="0" w:space="0" w:color="auto"/>
        <w:bottom w:val="none" w:sz="0" w:space="0" w:color="auto"/>
        <w:right w:val="none" w:sz="0" w:space="0" w:color="auto"/>
      </w:divBdr>
    </w:div>
    <w:div w:id="1224684245">
      <w:bodyDiv w:val="1"/>
      <w:marLeft w:val="0"/>
      <w:marRight w:val="0"/>
      <w:marTop w:val="0"/>
      <w:marBottom w:val="0"/>
      <w:divBdr>
        <w:top w:val="none" w:sz="0" w:space="0" w:color="auto"/>
        <w:left w:val="none" w:sz="0" w:space="0" w:color="auto"/>
        <w:bottom w:val="none" w:sz="0" w:space="0" w:color="auto"/>
        <w:right w:val="none" w:sz="0" w:space="0" w:color="auto"/>
      </w:divBdr>
    </w:div>
    <w:div w:id="1315141577">
      <w:bodyDiv w:val="1"/>
      <w:marLeft w:val="0"/>
      <w:marRight w:val="0"/>
      <w:marTop w:val="0"/>
      <w:marBottom w:val="0"/>
      <w:divBdr>
        <w:top w:val="none" w:sz="0" w:space="0" w:color="auto"/>
        <w:left w:val="none" w:sz="0" w:space="0" w:color="auto"/>
        <w:bottom w:val="none" w:sz="0" w:space="0" w:color="auto"/>
        <w:right w:val="none" w:sz="0" w:space="0" w:color="auto"/>
      </w:divBdr>
    </w:div>
    <w:div w:id="1396270566">
      <w:bodyDiv w:val="1"/>
      <w:marLeft w:val="0"/>
      <w:marRight w:val="0"/>
      <w:marTop w:val="0"/>
      <w:marBottom w:val="0"/>
      <w:divBdr>
        <w:top w:val="none" w:sz="0" w:space="0" w:color="auto"/>
        <w:left w:val="none" w:sz="0" w:space="0" w:color="auto"/>
        <w:bottom w:val="none" w:sz="0" w:space="0" w:color="auto"/>
        <w:right w:val="none" w:sz="0" w:space="0" w:color="auto"/>
      </w:divBdr>
    </w:div>
    <w:div w:id="1556966586">
      <w:bodyDiv w:val="1"/>
      <w:marLeft w:val="0"/>
      <w:marRight w:val="0"/>
      <w:marTop w:val="0"/>
      <w:marBottom w:val="0"/>
      <w:divBdr>
        <w:top w:val="none" w:sz="0" w:space="0" w:color="auto"/>
        <w:left w:val="none" w:sz="0" w:space="0" w:color="auto"/>
        <w:bottom w:val="none" w:sz="0" w:space="0" w:color="auto"/>
        <w:right w:val="none" w:sz="0" w:space="0" w:color="auto"/>
      </w:divBdr>
    </w:div>
    <w:div w:id="1768038996">
      <w:bodyDiv w:val="1"/>
      <w:marLeft w:val="0"/>
      <w:marRight w:val="0"/>
      <w:marTop w:val="0"/>
      <w:marBottom w:val="0"/>
      <w:divBdr>
        <w:top w:val="none" w:sz="0" w:space="0" w:color="auto"/>
        <w:left w:val="none" w:sz="0" w:space="0" w:color="auto"/>
        <w:bottom w:val="none" w:sz="0" w:space="0" w:color="auto"/>
        <w:right w:val="none" w:sz="0" w:space="0" w:color="auto"/>
      </w:divBdr>
    </w:div>
    <w:div w:id="20136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4D50F5A4C70D428EBB1D981757B6DF" ma:contentTypeVersion="4" ma:contentTypeDescription="Create a new document." ma:contentTypeScope="" ma:versionID="6d3addc88ca1967331ba778bdba7b8b2">
  <xsd:schema xmlns:xsd="http://www.w3.org/2001/XMLSchema" xmlns:xs="http://www.w3.org/2001/XMLSchema" xmlns:p="http://schemas.microsoft.com/office/2006/metadata/properties" xmlns:ns2="5e334a1b-fa88-415b-a677-ee17d47b6e88" xmlns:ns3="819cbcd9-81b7-4c5f-a0a0-8659ff317983" targetNamespace="http://schemas.microsoft.com/office/2006/metadata/properties" ma:root="true" ma:fieldsID="f613e61d0e7d412861a1c1134dd8efa4" ns2:_="" ns3:_="">
    <xsd:import namespace="5e334a1b-fa88-415b-a677-ee17d47b6e88"/>
    <xsd:import namespace="819cbcd9-81b7-4c5f-a0a0-8659ff3179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34a1b-fa88-415b-a677-ee17d47b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cbcd9-81b7-4c5f-a0a0-8659ff3179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66F57-91E7-4148-97DA-59161631410C}">
  <ds:schemaRefs>
    <ds:schemaRef ds:uri="http://schemas.microsoft.com/sharepoint/v3/contenttype/forms"/>
  </ds:schemaRefs>
</ds:datastoreItem>
</file>

<file path=customXml/itemProps2.xml><?xml version="1.0" encoding="utf-8"?>
<ds:datastoreItem xmlns:ds="http://schemas.openxmlformats.org/officeDocument/2006/customXml" ds:itemID="{78DEBFD2-929B-48AA-87D8-A691CA038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34a1b-fa88-415b-a677-ee17d47b6e88"/>
    <ds:schemaRef ds:uri="819cbcd9-81b7-4c5f-a0a0-8659ff317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925EB-E681-4695-9D9A-5DEE2CC5D7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Schuenemann, Keah</dc:creator>
  <cp:keywords/>
  <dc:description/>
  <cp:lastModifiedBy>Schuenemann, Keah</cp:lastModifiedBy>
  <cp:revision>2</cp:revision>
  <cp:lastPrinted>2018-12-17T17:58:00Z</cp:lastPrinted>
  <dcterms:created xsi:type="dcterms:W3CDTF">2019-04-16T21:21:00Z</dcterms:created>
  <dcterms:modified xsi:type="dcterms:W3CDTF">2019-04-16T21:21:00Z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0x010100314D50F5A4C70D428EBB1D981757B6DF</vt:lpwstr>
  </property>
</Properties>
</file>